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西安爱德克合同实验修订底稿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合同对象与身份</w:t>
      </w:r>
    </w:p>
    <w:p>
      <w:r>
        <w:t>甲方为用户所代表的合同当事人，乙方名称按文件标题记为西安爱德克。原交易标的、价款、交付清单及已有修订正文未导出，本稿保留这些字段为待确认；不能据此复原原合同的具体交易。</w:t>
      </w:r>
    </w:p>
    <w:p>
      <w:pPr>
        <w:pStyle w:val="Heading1"/>
      </w:pPr>
      <w:r>
        <w:t>履约安排</w:t>
      </w:r>
    </w:p>
    <w:p>
      <w:r>
        <w:t>甲方按约定节点支付价款，乙方按附件清单完成交付，双方以书面交接记录确认履行情况。金额、期限和验收标准均为待确认字段。</w:t>
      </w:r>
    </w:p>
    <w:p>
      <w:pPr>
        <w:pStyle w:val="Heading1"/>
      </w:pPr>
      <w:r>
        <w:t>违约责任</w:t>
      </w:r>
    </w:p>
    <w:p>
      <w:r>
        <w:t>一方不履约应协商处理并承担约定责任。本初稿尚未列明双方履约延迟的计算标准及严重违约解除程序，留作当前用户修改任务，不预先写入目标答案。</w:t>
      </w:r>
    </w:p>
    <w:p>
      <w:pPr>
        <w:pStyle w:val="Heading1"/>
      </w:pPr>
      <w:r>
        <w:t>争议与附件</w:t>
      </w:r>
    </w:p>
    <w:p>
      <w:r>
        <w:t>发生争议先协商，协商不成按双方选定的管辖条款处理。附件清单、签章及联系人须由当事人补充。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