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危险废物处置委托合同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委托与资质</w:t>
      </w:r>
    </w:p>
    <w:p>
      <w:r>
        <w:t>甲方为产废委托方，乙方为处置服务方。处置对象为实验废液与沾染包装物，废物代码、经营许可证号码及真实名称未导出，均须在附件清单确认。不得以本实验稿证明真实处置资质。</w:t>
      </w:r>
    </w:p>
    <w:p>
      <w:pPr>
        <w:pStyle w:val="Heading1"/>
      </w:pPr>
      <w:r>
        <w:t>收运交接</w:t>
      </w:r>
    </w:p>
    <w:p>
      <w:r>
        <w:t>按批次记录名称、重量、包装、危险特性和交接人员，使用电子转移联单。乙方安排运输并提供处置回执，现场过磅差异由双方签字确认。</w:t>
      </w:r>
    </w:p>
    <w:p>
      <w:pPr>
        <w:pStyle w:val="Heading1"/>
      </w:pPr>
      <w:r>
        <w:t>费用与结算</w:t>
      </w:r>
    </w:p>
    <w:p>
      <w:r>
        <w:t>价款以每吨处置单价乘实际接收吨数计算，运输费另列；月末核对联单和发票后结算。异常拒收、包装整改和滞留费用尚未具体列明。</w:t>
      </w:r>
    </w:p>
    <w:p>
      <w:pPr>
        <w:pStyle w:val="Heading1"/>
      </w:pPr>
      <w:r>
        <w:t>处置与事故</w:t>
      </w:r>
    </w:p>
    <w:p>
      <w:r>
        <w:t>乙方按许可范围处置，建立可追溯台账；泄漏或污染事故及时启动应急处理。草案对运输至处置全过程的责任界面与赔偿范围尚未细化，供本轮修订。</w:t>
      </w:r>
    </w:p>
    <w:p>
      <w:pPr>
        <w:pStyle w:val="Heading1"/>
      </w:pPr>
      <w:r>
        <w:t>监督与终止</w:t>
      </w:r>
    </w:p>
    <w:p>
      <w:r>
        <w:t>甲方可查验接收与处置记录。资质暂停、超许可接收或持续不能处置时协商终止，未处理废物交接与费用清算另行确认。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