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【TC18】合伙协议</w:t>
      </w:r>
    </w:p>
    <w:p>
      <w:r>
        <w:rPr>
          <w:sz w:val="16"/>
        </w:rPr>
        <w:t>实验合成初始输入；不是原企业合同。具名主题/原输入角色保留，未给出事实和金额为实验设置；未执行后轮修改。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1. 合作主体与形式  </w:t>
      </w:r>
      <w:r>
        <w:t>主体：实验创业合作主体。创业合作来源以三位创始合作者为角色，公司的注册身份、内部合作授权及法定代表人权限分别核实。</w:t>
      </w:r>
    </w:p>
    <w:p>
      <w:pPr>
        <w:keepLines/>
      </w:pPr>
      <w:r>
        <w:rPr>
          <w:b/>
        </w:rPr>
        <w:t xml:space="preserve">2. 出资和份额  </w:t>
      </w:r>
      <w:r>
        <w:t>三位实验创始合作者投入合计100万元，出资60万元、25万元、15万元，对应60%、25%、15%，合计100%。实际出资义务尚需核实。</w:t>
      </w:r>
    </w:p>
    <w:p>
      <w:pPr>
        <w:keepLines/>
      </w:pPr>
      <w:r>
        <w:rPr>
          <w:b/>
        </w:rPr>
        <w:t xml:space="preserve">3. 缴款  </w:t>
      </w:r>
      <w:r>
        <w:t>出资额度与实缴记录分列。执行事务人发出书面缴款通知后20个工作日内缴款，通知说明用途、额度及缴款日期；未发出通知不视为已实缴。</w:t>
      </w:r>
    </w:p>
    <w:p>
      <w:pPr>
        <w:keepLines/>
      </w:pPr>
      <w:r>
        <w:rPr>
          <w:b/>
        </w:rPr>
        <w:t xml:space="preserve">4. 合作期限  </w:t>
      </w:r>
      <w:r>
        <w:t>经营合作起始日期待填，不直接套用私募基金投资期；公司成立、各方实缴和授权证明分别列示。</w:t>
      </w:r>
    </w:p>
    <w:p>
      <w:pPr>
        <w:keepLines/>
      </w:pPr>
      <w:r>
        <w:rPr>
          <w:b/>
        </w:rPr>
        <w:t xml:space="preserve">5. 决策与执行  </w:t>
      </w:r>
      <w:r>
        <w:t>日常事务由约定执行主体处理；新增融资、对外担保、重大资产处分须通知其他参与人并履行表决程序。公司法定代表人权限与内部合作授权须分别核实。</w:t>
      </w:r>
    </w:p>
    <w:p>
      <w:pPr>
        <w:keepLines/>
      </w:pPr>
      <w:r>
        <w:rPr>
          <w:b/>
        </w:rPr>
        <w:t xml:space="preserve">6. 分配与退出  </w:t>
      </w:r>
      <w:r>
        <w:t>收益按实际约定份额分配，退出估值、回购期限、亏损承担及争议程序保留可供审核的条款；不因劳务或称谓自动认定无限责任。</w:t>
      </w:r>
    </w:p>
    <w:p>
      <w:pPr>
        <w:keepLines/>
      </w:pPr>
      <w:r>
        <w:rPr>
          <w:b/>
        </w:rPr>
        <w:t xml:space="preserve">7. 员工激励  </w:t>
      </w:r>
      <w:r>
        <w:t>初始创业协议尚无员工激励池或有限合伙持股平台；用户要求10%的激励应由agent从现有60/25/15份额中同步调整，不提前形成完成稿。</w:t>
      </w:r>
    </w:p>
    <w:p>
      <w:pPr>
        <w:keepLines/>
      </w:pPr>
      <w:r>
        <w:rPr>
          <w:b/>
        </w:rPr>
        <w:t xml:space="preserve">8. 信息和终止  </w:t>
      </w:r>
      <w:r>
        <w:t>定期提供资金及经营记录。解散需清理债务、未履行承诺和剩余资产；签章、起始日期留空。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【TC18】合伙协议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