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5-访谈记录-全体激励对象20210918.doc</w:t>
      </w:r>
    </w:p>
    <w:p>
      <w:r>
        <w:rPr>
          <w:sz w:val="16"/>
        </w:rPr>
        <w:t>实验合成初始输入；不是原企业文件。具名主题/原输入角色保留，未给出事实和金额为实验设置；未执行后轮修改。</w:t>
      </w:r>
    </w:p>
    <w:p>
      <w:pPr>
        <w:keepLines/>
      </w:pPr>
      <w:r>
        <w:rPr>
          <w:b/>
        </w:rPr>
        <w:t xml:space="preserve">访谈背景  </w:t>
      </w:r>
      <w:r>
        <w:t>西安瑞联新材料股份有限公司2021年限制性股票激励计划；实验访谈对象为拟参加授予的实验对象A。原真实姓名、访谈日期和证券账户未恢复。</w:t>
      </w:r>
    </w:p>
    <w:p>
      <w:pPr>
        <w:keepLines/>
      </w:pPr>
      <w:r>
        <w:rPr>
          <w:b/>
        </w:rPr>
        <w:t xml:space="preserve">问题一：资料接触  </w:t>
      </w:r>
      <w:r>
        <w:t>问：何时接触激励计划信息？答：于实验通知日取得草案及授予说明，尚未形成真实签字确认。信息知悉时点应另核。</w:t>
      </w:r>
    </w:p>
    <w:p>
      <w:pPr>
        <w:keepLines/>
      </w:pPr>
      <w:r>
        <w:rPr>
          <w:b/>
        </w:rPr>
        <w:t xml:space="preserve">问题二：交易与关系  </w:t>
      </w:r>
      <w:r>
        <w:t>问：是否买卖公司股票、是否与董事或股东有关联？答：实验记录为存在一次二级市场交易，交易日及与知悉时点关系待核；关联关系尚需本人补充。</w:t>
      </w:r>
    </w:p>
    <w:p>
      <w:pPr>
        <w:keepLines/>
      </w:pPr>
      <w:r>
        <w:rPr>
          <w:b/>
        </w:rPr>
        <w:t xml:space="preserve">问题三：授予与风险  </w:t>
      </w:r>
      <w:r>
        <w:t>问：是否理解认购价款和归属条件？答：知悉实验对象A授予20000股、每股10元，40%/30%/30%三期归属，不保证收益；对象B已表示放弃本次激励。</w:t>
      </w:r>
    </w:p>
    <w:p>
      <w:pPr>
        <w:keepLines/>
      </w:pPr>
      <w:r>
        <w:rPr>
          <w:b/>
        </w:rPr>
        <w:t xml:space="preserve">原始记录与签署  </w:t>
      </w:r>
      <w:r>
        <w:t>访谈仅为实验初始问答记录，不含律师核查结论。交易证明、内幕信息登记表及本人签字未恢复；签名、日期留空。</w:t>
      </w:r>
    </w:p>
    <w:sectPr w:rsidR="00FC693F" w:rsidRPr="0006063C" w:rsidSect="00034616">
      <w:footerReference w:type="default" r:id="rId9"/>
      <w:pgSz w:w="11909" w:h="16834"/>
      <w:pgMar w:top="864" w:right="965" w:bottom="864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Experimental input fixture / 实验输入材料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5-访谈记录-全体激励对象20210918.doc</dc:title>
  <dc:subject>Synthetic initial input, not original enterprise facts</dc:subject>
  <dc:creator>Benchmark fixture reconstruction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