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研发售前差异评估实验输入</w:t>
      </w:r>
    </w:p>
    <w:p>
      <w:r>
        <w:t>实验输入材料 原附件字节未恢复 不含历史AI答案</w:t>
      </w:r>
    </w:p>
    <w:p>
      <w:pPr>
        <w:pStyle w:val="Heading1"/>
      </w:pPr>
      <w:r>
        <w:t>资料用途</w:t>
      </w:r>
    </w:p>
    <w:p>
      <w:r>
        <w:t>原输入包未恢复。本包按需求、现有版本、测试记录与架构约束提供实验数据，用于标准/定制/补资料的逐项判定；不预写分类答案。</w:t>
      </w:r>
    </w:p>
    <w:p>
      <w:pPr>
        <w:pStyle w:val="Heading1"/>
      </w:pPr>
      <w:r>
        <w:t>客户需求与产品记录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编号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客户实验需求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当前版本实验记录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证据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D01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RS485接口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V1支持RS485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接口说明REV1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D02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0至45℃连续运行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V1已测0至40℃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报告TEST-T01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D03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IP54防护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V1防护等级未核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缺第三方报告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D04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每60秒上传记录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V1默认每300秒上传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配置文件REV1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D05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与客户专用协议对接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通用接口可用，专用协议未知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客户协议尚未提供</w:t>
            </w:r>
          </w:p>
        </w:tc>
      </w:tr>
    </w:tbl>
    <w:p>
      <w:pPr>
        <w:pStyle w:val="Heading1"/>
      </w:pPr>
      <w:r>
        <w:t>架构与样例测试</w:t>
      </w:r>
    </w:p>
    <w:p>
      <w:r>
        <w:t>实验V1中采集、通信和任务管理分别配置；上传间隔变更需要核对带宽和缓存。TEST-T01仅覆盖0至40℃环境，不证明更高温度下可靠。</w:t>
      </w:r>
    </w:p>
    <w:p>
      <w:r>
        <w:t>研发负责人、预算、排期、真实产品版本和测试签署未知。最终可覆盖/定制/补资料的评估由本轮任务完成。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