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淘宝C店市场推广合同实验底稿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签约与推广对象</w:t>
      </w:r>
    </w:p>
    <w:p>
      <w:r>
        <w:t>甲方为生合万物相关业务委托方，乙方为湖南中辰创海网络科技有限公司。合同编号按原文件名保留WYHW-MK-260701，推广对象为淘宝C店。原店铺名、真实费用及承诺材料未导出。</w:t>
      </w:r>
    </w:p>
    <w:p>
      <w:pPr>
        <w:pStyle w:val="Heading1"/>
      </w:pPr>
      <w:r>
        <w:t>服务清单</w:t>
      </w:r>
    </w:p>
    <w:p>
      <w:r>
        <w:t>乙方提供店铺诊断、页面运营、推广投放、周报和月度经营数据汇总，平台广告账户与预算由双方确认。服务清单区分运营费、广告充值费及平台直接扣费。</w:t>
      </w:r>
    </w:p>
    <w:p>
      <w:pPr>
        <w:pStyle w:val="Heading1"/>
      </w:pPr>
      <w:r>
        <w:t>费用与报表</w:t>
      </w:r>
    </w:p>
    <w:p>
      <w:r>
        <w:t>实验服务期三个月，费用采用协商字段，付款凭服务清单、广告到账记录及发票核对。乙方提供流量、点击、转化、订单及退款数据；成交金额与实际回款分别记录。</w:t>
      </w:r>
    </w:p>
    <w:p>
      <w:pPr>
        <w:pStyle w:val="Heading1"/>
      </w:pPr>
      <w:r>
        <w:t>承诺与退出</w:t>
      </w:r>
    </w:p>
    <w:p>
      <w:r>
        <w:t>本草案没有保证最低销售收入。转包、平台账号控制、数据可核验范围、退款条件与未消费预算返还约定不完整，供风险审查使用。未取得原证据不能据本稿认定真实诈骗。</w:t>
      </w:r>
    </w:p>
    <w:p>
      <w:pPr>
        <w:pStyle w:val="Heading1"/>
      </w:pPr>
      <w:r>
        <w:t>附件与签章</w:t>
      </w:r>
    </w:p>
    <w:p>
      <w:r>
        <w:t>附件包括投放计划、服务项目、费用分项及联系人登记。签章、许可证和真实付款证明未恢复，均不生成伪真实证明。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