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（20260919）股权转让协议-卢雪源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出让方：卢雪源。受让方：合世家（原用户后轮澄清既有文件主体，不是新设受让主体）。目标公司：未来工场。真实注册身份仍需核实。</w:t>
      </w:r>
    </w:p>
    <w:p>
      <w:pPr>
        <w:keepLines/>
      </w:pPr>
      <w:r>
        <w:rPr>
          <w:b/>
        </w:rPr>
        <w:t xml:space="preserve">2.1 标的与定价  </w:t>
      </w:r>
      <w:r>
        <w:t>参考估值人民币1100000000元，本文件转让款3640000元，对应股权0.33090909%。未来壹636万元来自用户对原交易的说明；另一主体364万元由原总额1000万元相减，不预设后轮交割修改。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（20260919）股权转让协议-卢雪源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