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保密协议-TEMPLATE_NDA (Generic)</w:t>
      </w:r>
    </w:p>
    <w:p>
      <w:r>
        <w:rPr>
          <w:sz w:val="16"/>
        </w:rPr>
        <w:t>EXPERIMENTAL SYNTHETIC INITIAL INPUT. Not the original contract. Unknown identities/values remain unverified.</w:t>
      </w:r>
    </w:p>
    <w:p>
      <w:pPr>
        <w:keepLines/>
      </w:pPr>
      <w:r>
        <w:rPr>
          <w:b/>
        </w:rPr>
        <w:t xml:space="preserve">Parties  </w:t>
      </w:r>
      <w:r>
        <w:t>Disclosing Party: Experimental Family Enterprise. Receiving Party: [Company Name]. The Company Name and registration details are intentionally blank in this initial template.</w:t>
      </w:r>
    </w:p>
    <w:p>
      <w:pPr>
        <w:keepLines/>
      </w:pPr>
      <w:r>
        <w:rPr>
          <w:b/>
        </w:rPr>
        <w:t xml:space="preserve">1. Purpose  </w:t>
      </w:r>
      <w:r>
        <w:t>The parties exchange confidential business and technical information solely to evaluate a possible investment or commercial relationship. No investment, exclusivity or licensing commitment is created.</w:t>
      </w:r>
    </w:p>
    <w:p>
      <w:pPr>
        <w:keepLines/>
      </w:pPr>
      <w:r>
        <w:rPr>
          <w:b/>
        </w:rPr>
        <w:t xml:space="preserve">2. Confidential Information  </w:t>
      </w:r>
      <w:r>
        <w:t>Information in written, electronic and oral form concerning technology, financial plans, customers, research and commercial strategy is confidential, whether or not individually marked.</w:t>
      </w:r>
    </w:p>
    <w:p>
      <w:pPr>
        <w:keepLines/>
      </w:pPr>
      <w:r>
        <w:rPr>
          <w:b/>
        </w:rPr>
        <w:t xml:space="preserve">2.1. Exclusions  </w:t>
      </w:r>
      <w:r>
        <w:t>Information already public without breach, previously lawfully held, independently developed, or lawfully received from a third party is excluded, subject to written supporting evidence.</w:t>
      </w:r>
    </w:p>
    <w:p>
      <w:pPr>
        <w:keepLines/>
      </w:pPr>
      <w:r>
        <w:rPr>
          <w:b/>
        </w:rPr>
        <w:t xml:space="preserve">2.2(a). Representatives  </w:t>
      </w:r>
      <w:r>
        <w:t>The recipient may disclose information to affiliates, employees and professional advisers who need to know it for the Purpose and are subject to confidentiality duties. A list of recipients shall be supplied on request.</w:t>
      </w:r>
    </w:p>
    <w:p>
      <w:pPr>
        <w:keepLines/>
      </w:pPr>
      <w:r>
        <w:rPr>
          <w:b/>
        </w:rPr>
        <w:t xml:space="preserve">2.2(b). Liability  </w:t>
      </w:r>
      <w:r>
        <w:t>The Receiving Party and its representatives shall be jointly and severally liable for a breach of the confidentiality obligations. This is an initial negotiation clause.</w:t>
      </w:r>
    </w:p>
    <w:p>
      <w:pPr>
        <w:keepLines/>
      </w:pPr>
      <w:r>
        <w:rPr>
          <w:b/>
        </w:rPr>
        <w:t xml:space="preserve">3. Duration  </w:t>
      </w:r>
      <w:r>
        <w:t>Confidentiality obligations continue for five years from each disclosure. Trade secrets remain protected while they retain their confidential character.</w:t>
      </w:r>
    </w:p>
    <w:p>
      <w:pPr>
        <w:keepLines/>
      </w:pPr>
      <w:r>
        <w:rPr>
          <w:b/>
        </w:rPr>
        <w:t xml:space="preserve">4. Return and Retention  </w:t>
      </w:r>
      <w:r>
        <w:t>On written request, information shall be returned or destroyed within ten business days. Backup copies and legally required records may be retained with continuing confidentiality obligations.</w:t>
      </w:r>
    </w:p>
    <w:p>
      <w:pPr>
        <w:keepLines/>
      </w:pPr>
      <w:r>
        <w:rPr>
          <w:b/>
        </w:rPr>
        <w:t xml:space="preserve">5. Intellectual Property  </w:t>
      </w:r>
      <w:r>
        <w:t>Disclosure does not transfer ownership or grant a patent, copyright or commercial exploitation licence. Reverse engineering requires separate written permission.</w:t>
      </w:r>
    </w:p>
    <w:p>
      <w:pPr>
        <w:keepLines/>
      </w:pPr>
      <w:r>
        <w:rPr>
          <w:b/>
        </w:rPr>
        <w:t xml:space="preserve">6. Remedies  </w:t>
      </w:r>
      <w:r>
        <w:t>The discloser may seek injunctive relief and compensation for losses established in the proceedings. No monetary liability cap is specified in this initial template.</w:t>
      </w:r>
    </w:p>
    <w:p>
      <w:pPr>
        <w:keepLines/>
      </w:pPr>
      <w:r>
        <w:rPr>
          <w:b/>
        </w:rPr>
        <w:t xml:space="preserve">7. Governing Law  </w:t>
      </w:r>
      <w:r>
        <w:t>This Agreement is governed by the laws of England and Wales. Disputes shall be submitted to the competent courts of London.</w:t>
      </w:r>
    </w:p>
    <w:p>
      <w:pPr>
        <w:keepLines/>
      </w:pPr>
      <w:r>
        <w:rPr>
          <w:b/>
        </w:rPr>
        <w:t xml:space="preserve">8. Signatures  </w:t>
      </w:r>
      <w:r>
        <w:t>Disclosing Party: __________. Receiving Party Company Name: __________. Authorised signature: __________. Date: __________.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保密协议-TEMPLATE_NDA (Generic)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