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原料质量保证协议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原料与标准</w:t>
      </w:r>
    </w:p>
    <w:p>
      <w:r>
        <w:t>采购方采购供应商提供的原料，具体名称、牌号、规格与真实限度未知。每批原料附质量证明书，附件记录检测项目、放行限度、生产批号及保质期。</w:t>
      </w:r>
    </w:p>
    <w:p>
      <w:pPr>
        <w:pStyle w:val="Heading1"/>
      </w:pPr>
      <w:r>
        <w:t>验收与留样</w:t>
      </w:r>
    </w:p>
    <w:p>
      <w:r>
        <w:t>采购方在到货后进行数量与外观检查，质量争议由双方封样检测。原稿没有写明检测期限、双方认可的机构及储存条件对检测结果的影响，供供应商审核。</w:t>
      </w:r>
    </w:p>
    <w:p>
      <w:pPr>
        <w:pStyle w:val="Heading1"/>
      </w:pPr>
      <w:r>
        <w:t>变更与追溯</w:t>
      </w:r>
    </w:p>
    <w:p>
      <w:r>
        <w:t>供应商保存批次生产与检验记录，原料、工艺、产地或检测标准变化通知采购方。采购方记录使用批次与成品流向，建立质量投诉追溯。</w:t>
      </w:r>
    </w:p>
    <w:p>
      <w:pPr>
        <w:pStyle w:val="Heading1"/>
      </w:pPr>
      <w:r>
        <w:t>不合格与责任</w:t>
      </w:r>
    </w:p>
    <w:p>
      <w:r>
        <w:t>出现不合格时按退换、补货或价格调整处理。原稿表述供应商承担全部相关损失，未限定过错、因果关系或损失证明，保留此重大风险供本次修订。</w:t>
      </w:r>
    </w:p>
    <w:p>
      <w:pPr>
        <w:pStyle w:val="Heading1"/>
      </w:pPr>
      <w:r>
        <w:t>审计与召回</w:t>
      </w:r>
    </w:p>
    <w:p>
      <w:r>
        <w:t>采购方可进行合理质量审计；召回时双方协同查明原因。商业秘密和审计范围尚待双方明确。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