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巡检产品价值主张实验输入</w:t>
      </w:r>
    </w:p>
    <w:p>
      <w:r>
        <w:t>实验输入材料 原附件字节未恢复 不含历史AI答案</w:t>
      </w:r>
    </w:p>
    <w:p>
      <w:pPr>
        <w:pStyle w:val="Heading1"/>
      </w:pPr>
      <w:r>
        <w:t>产品与用途</w:t>
      </w:r>
    </w:p>
    <w:p>
      <w:r>
        <w:t>原价值主张正文未知。本稿提供实验巡检产品卖点素材，供依据客户角色生成短邮件；不是已经写好的外联邮件。</w:t>
      </w:r>
    </w:p>
    <w:p>
      <w:r>
        <w:t>实验产品包含巡检任务登记、异常留档和维护人员复核功能。业务价值是减少分散登记、便于回查；尚无经验证的节省比例或付费客户数量。</w:t>
      </w:r>
    </w:p>
    <w:p>
      <w:pPr>
        <w:pStyle w:val="Heading1"/>
      </w:pPr>
      <w:r>
        <w:t>角色与素材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关注问题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可以使用的触发事件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CTA素材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运维负责人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异常记录与责任闭环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近期新增设备巡检范围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约一次流程演示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采购负责人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范围、交期和售后依据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启动设备评估采购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交换规格与验收清单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信息化负责人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数据接口与运维集成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正在梳理系统接口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安排接口需求沟通</w:t>
            </w:r>
          </w:p>
        </w:tc>
      </w:tr>
    </w:tbl>
    <w:p>
      <w:pPr>
        <w:pStyle w:val="Heading1"/>
      </w:pPr>
      <w:r>
        <w:t>证据和限制</w:t>
      </w:r>
    </w:p>
    <w:p>
      <w:r>
        <w:t>实验价值表达：设备记录、异常处理与复核状态在同一平台保留；真实客户效果、认证、对标价格和联系方式未知。</w:t>
      </w:r>
    </w:p>
    <w:p>
      <w:r>
        <w:t>当前材料不包含第几天发送的邮件序列，也没有编造真实收件人或批准发送状态。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