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西安瑞联新材料股份有限公司-限制性股票授予协议书2021018-srt修订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当事人与授予  </w:t>
      </w:r>
      <w:r>
        <w:t>授予方：西安瑞联新材料股份有限公司；对象：实验对象A。实验授予限制性股票20000股，价格每股10元，认购价款合计20万元；实际数量和价格未知。</w:t>
      </w:r>
    </w:p>
    <w:p>
      <w:pPr>
        <w:keepLines/>
      </w:pPr>
      <w:r>
        <w:rPr>
          <w:b/>
        </w:rPr>
        <w:t xml:space="preserve">1. 授予与付款  </w:t>
      </w:r>
      <w:r>
        <w:t>对象按授予通知期限缴款，公司依法完成所需程序。股权登记与缴款记录分开保存。</w:t>
      </w:r>
    </w:p>
    <w:p>
      <w:pPr>
        <w:keepLines/>
      </w:pPr>
      <w:r>
        <w:rPr>
          <w:b/>
        </w:rPr>
        <w:t xml:space="preserve">2. 归属安排  </w:t>
      </w:r>
      <w:r>
        <w:t>实验归属比例40%、30%、30%，合计100%；需同时满足服务期限及公司/个人考核条件，具体日期与考核指标待核。</w:t>
      </w:r>
    </w:p>
    <w:p>
      <w:pPr>
        <w:keepLines/>
      </w:pPr>
      <w:r>
        <w:rPr>
          <w:b/>
        </w:rPr>
        <w:t xml:space="preserve">3. 限制和退出  </w:t>
      </w:r>
      <w:r>
        <w:t>归属前不得擅自转让；离职、考核未达标、继承及取消授予情形应分别处理。</w:t>
      </w:r>
    </w:p>
    <w:p>
      <w:pPr>
        <w:keepLines/>
      </w:pPr>
      <w:r>
        <w:rPr>
          <w:b/>
        </w:rPr>
        <w:t xml:space="preserve">4. 信息披露与税务  </w:t>
      </w:r>
      <w:r>
        <w:t>真实上市公司披露、交易及税务要求需由agent查询核实，本合成协议不假充合规意见。</w:t>
      </w:r>
    </w:p>
    <w:p>
      <w:pPr>
        <w:keepLines/>
      </w:pPr>
      <w:r>
        <w:rPr>
          <w:b/>
        </w:rPr>
        <w:t xml:space="preserve">5. 争议与签署  </w:t>
      </w:r>
      <w:r>
        <w:t>双方先协商，争议按约定处理。姓名、签名和日期留空。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西安瑞联新材料股份有限公司-限制性股票授予协议书2021018-srt修订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