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项目启动与WBS编排输入材料.docx</w:t>
      </w:r>
    </w:p>
    <w:p>
      <w:r>
        <w:rPr>
          <w:sz w:val="16"/>
        </w:rPr>
        <w:t>实验合成初始输入；不是原企业文件。具名主题/原输入角色保留，未给出事实和金额为实验设置；未执行后轮修改。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合同初始范围  </w:t>
      </w:r>
      <w:r>
        <w:t>实验项目合同金额30万元，交付期限为启动后60个自然日。必须交付需求确认书、技术方案、功能原型、集成测试报告、上线包和一次培训。真实项目名称与签署日期未恢复。</w:t>
      </w:r>
    </w:p>
    <w:p>
      <w:pPr>
        <w:keepLines/>
      </w:pPr>
      <w:r>
        <w:rPr>
          <w:b/>
        </w:rPr>
        <w:t xml:space="preserve">技术基线  </w:t>
      </w:r>
      <w:r>
        <w:t>已冻结：单租户部署、用户查询和报告导出，接口采用V1；待确认：客户数据字典、第三方登录接口、生产部署窗口。未把待确认项写成已冻结。</w:t>
      </w:r>
    </w:p>
    <w:p>
      <w:pPr>
        <w:keepLines/>
      </w:pPr>
      <w:r>
        <w:rPr>
          <w:b/>
        </w:rPr>
        <w:t xml:space="preserve">原始资源和工期  </w:t>
      </w:r>
      <w:r>
        <w:t>需求确认需5天；方案设计8天；原型实现20天；第三方接口联调10天；集成测试7天；上线与培训5天。接口凭据需客户先提供，数据字典影响原型和联调，部署窗口影响上线。</w:t>
      </w:r>
    </w:p>
    <w:p>
      <w:pPr>
        <w:keepLines/>
      </w:pPr>
      <w:r>
        <w:rPr>
          <w:b/>
        </w:rPr>
        <w:t xml:space="preserve">付款安排  </w:t>
      </w:r>
      <w:r>
        <w:t>合同签署20%=6万元；需求和方案确认30%=9万元；测试验收30%=9万元；上线培训20%=6万元。总计30万元，节点只描述合同条件，尚未生成WBS或关键路径结果。</w:t>
      </w:r>
    </w:p>
    <w:p>
      <w:pPr>
        <w:keepLines/>
      </w:pPr>
      <w:r>
        <w:rPr>
          <w:b/>
        </w:rPr>
        <w:t xml:space="preserve">验收与风险输入  </w:t>
      </w:r>
      <w:r>
        <w:t>每项交付物需客户书面确认，第三方接口资料预计启动后15天取得，生产窗口在第55天待确认。工期为实验设定，真实合同和人员可用性未知。</w:t>
      </w:r>
    </w:p>
    <w:p>
      <w:pPr>
        <w:keepLines/>
      </w:pPr>
      <w:r>
        <w:rPr>
          <w:b/>
        </w:rPr>
        <w:t xml:space="preserve">记录  </w:t>
      </w:r>
      <w:r>
        <w:t>该文档提供合同、技术基线和原始资源三类输入，不附用户所需最终启动包/WBS/里程碑。签章、审批和启动日期留空。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项目启动与WBS编排输入材料.docx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