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20260818-未来工场投资框架协议-合世家V1(1).doc</w:t>
      </w:r>
    </w:p>
    <w:p>
      <w:r>
        <w:rPr>
          <w:sz w:val="16"/>
        </w:rPr>
        <w:t>实验合成初始输入；不是原企业合同。具名主题/原输入角色保留，未给出事实和金额为实验设置；未执行后轮修改。</w:t>
      </w:r>
    </w:p>
    <w:p>
      <w:pPr>
        <w:keepLines/>
      </w:pPr>
      <w:r>
        <w:rPr>
          <w:b/>
        </w:rPr>
        <w:t xml:space="preserve">1. 当事人与交易性质  </w:t>
      </w:r>
      <w:r>
        <w:t>目标公司：未来工场；投资方：合世家实验投资主体；转让方：实验原股东；具体名称未恢复。属于老股转让投资框架，非技术服务采购。实际法人全称与主体证明未恢复。</w:t>
      </w:r>
    </w:p>
    <w:p>
      <w:pPr>
        <w:keepLines/>
      </w:pPr>
      <w:r>
        <w:rPr>
          <w:b/>
        </w:rPr>
        <w:t xml:space="preserve">2. 估值和交易价款  </w:t>
      </w:r>
      <w:r>
        <w:t>本次参考估值为人民币100000000元；老股转让价款合计人民币10000000元。金额为本会话的明确实验设置，不声称原企业资金事实。</w:t>
      </w:r>
    </w:p>
    <w:p>
      <w:pPr>
        <w:keepLines/>
      </w:pPr>
      <w:r>
        <w:rPr>
          <w:b/>
        </w:rPr>
        <w:t xml:space="preserve">3. 交割  </w:t>
      </w:r>
      <w:r>
        <w:t>双方完成尽调、内部批准、股权转让文件签署及权属说明后交割。原稿尚未约定下一轮投资方签署文件作为前置条件。</w:t>
      </w:r>
    </w:p>
    <w:p>
      <w:pPr>
        <w:keepLines/>
      </w:pPr>
      <w:r>
        <w:rPr>
          <w:b/>
        </w:rPr>
        <w:t xml:space="preserve">4. 资金用途  </w:t>
      </w:r>
      <w:r>
        <w:t>转让款由出让方接收，原始实验稿未设置用途专户及逐项使用限制；用途调整应由运行中的agent执行。</w:t>
      </w:r>
    </w:p>
    <w:p>
      <w:pPr>
        <w:keepLines/>
      </w:pPr>
      <w:r>
        <w:rPr>
          <w:b/>
        </w:rPr>
        <w:t xml:space="preserve">5. 投资人信息权  </w:t>
      </w:r>
      <w:r>
        <w:t>投资人可按季度取得财务报表和经营情况；具体清单、通知时限与查阅范围由正式股权转让协议约定。</w:t>
      </w:r>
    </w:p>
    <w:p>
      <w:pPr>
        <w:keepLines/>
      </w:pPr>
      <w:r>
        <w:rPr>
          <w:b/>
        </w:rPr>
        <w:t xml:space="preserve">6. 保护性权利  </w:t>
      </w:r>
      <w:r>
        <w:t>投资方可就重大关联交易、后续融资、资产转让提出意见，享有优先受让、同等条件优先投资及约定退出权。未自动取得全体外部投资人全部特殊权益。</w:t>
      </w:r>
    </w:p>
    <w:p>
      <w:pPr>
        <w:keepLines/>
      </w:pPr>
      <w:r>
        <w:rPr>
          <w:b/>
        </w:rPr>
        <w:t xml:space="preserve">7. 退出与责任  </w:t>
      </w:r>
      <w:r>
        <w:t>重大虚假披露或交割条件不成时可解除交易、请求退还已付价款。实验草案约定责任上限为已收转让价款；创始人个人责任另行承诺。</w:t>
      </w:r>
    </w:p>
    <w:p>
      <w:pPr>
        <w:keepLines/>
      </w:pPr>
      <w:r>
        <w:rPr>
          <w:b/>
        </w:rPr>
        <w:t xml:space="preserve">8. 效力与签署  </w:t>
      </w:r>
      <w:r>
        <w:t>这是待签署或待评估的投资框架草案，不虚构已签署TS。签署日期及主体证明留空；签章栏保留。</w:t>
      </w:r>
    </w:p>
    <w:sectPr w:rsidR="00FC693F" w:rsidRPr="0006063C" w:rsidSect="00034616">
      <w:footerReference w:type="default" r:id="rId9"/>
      <w:pgSz w:w="11909" w:h="16834"/>
      <w:pgMar w:top="864" w:right="965" w:bottom="864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Experimental input fixture / 实验输入材料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20260818-未来工场投资框架协议-合世家V1(1).doc</dc:title>
  <dc:subject>Synthetic initial input, not original enterprise facts</dc:subject>
  <dc:creator>Benchmark fixture reconstruction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