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相关境外资金运营方案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相关境外资金运营方案包含合成客户的产品需求与初始规格，用于后续需求比对、报价整理或交付范围确认。客户身份、金额与规格为实验设置。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36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1486.01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80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385.2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1739.96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77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1388.28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56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1085.25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