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绩效考核管理制度_V32.docx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制度范围  </w:t>
      </w:r>
      <w:r>
        <w:t>实验企业现行绩效考核政策V32，适用正式员工。真实企业名称、民主程序与员工通知证明未知；这是待合规审查的初始制度，不是法律建议。</w:t>
      </w:r>
    </w:p>
    <w:p>
      <w:pPr>
        <w:keepLines/>
      </w:pPr>
      <w:r>
        <w:rPr>
          <w:b/>
        </w:rPr>
        <w:t xml:space="preserve">第一条 考核周期  </w:t>
      </w:r>
      <w:r>
        <w:t>按季度考核，结果分A/B/C/D四档，主管评分后HR复核，员工可于收到结果后5个工作日提出异议。</w:t>
      </w:r>
    </w:p>
    <w:p>
      <w:pPr>
        <w:keepLines/>
      </w:pPr>
      <w:r>
        <w:rPr>
          <w:b/>
        </w:rPr>
        <w:t xml:space="preserve">第二条 薪资调整  </w:t>
      </w:r>
      <w:r>
        <w:t>实验原稿规定：D档员工下季度固定工资下调20%，无需另行签署变更文件；浮动绩效另按等级调整。保留这条待审规定，不提前修改成合规条款。</w:t>
      </w:r>
    </w:p>
    <w:p>
      <w:pPr>
        <w:keepLines/>
      </w:pPr>
      <w:r>
        <w:rPr>
          <w:b/>
        </w:rPr>
        <w:t xml:space="preserve">第三条 末位规则  </w:t>
      </w:r>
      <w:r>
        <w:t>实验原稿规定：每季度排序最后5%的员工属于末位；连续两次末位时公司可直接解除劳动合同，是否培训/调岗另定。此是用于检查的初始制度文字。</w:t>
      </w:r>
    </w:p>
    <w:p>
      <w:pPr>
        <w:keepLines/>
      </w:pPr>
      <w:r>
        <w:rPr>
          <w:b/>
        </w:rPr>
        <w:t xml:space="preserve">第四条 记录与申诉  </w:t>
      </w:r>
      <w:r>
        <w:t>保留评分依据、主管反馈和申诉结论；部门不得只用排名代替工作能力资料，但原稿没有完整解除流程。</w:t>
      </w:r>
    </w:p>
    <w:p>
      <w:pPr>
        <w:keepLines/>
      </w:pPr>
      <w:r>
        <w:rPr>
          <w:b/>
        </w:rPr>
        <w:t xml:space="preserve">第五条 生效  </w:t>
      </w:r>
      <w:r>
        <w:t>拟按公司程序公布，生效日期及签章留空。实际原条文和合法性结论需运行任务核查，本输入不先附高风险清单。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绩效考核管理制度_V32.docx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