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数生智创缴款通知实验初稿</w:t>
      </w:r>
    </w:p>
    <w:p>
      <w:r>
        <w:t>实验输入材料 原附件字节未恢复 不含历史AI答案</w:t>
      </w:r>
    </w:p>
    <w:p>
      <w:pPr>
        <w:pStyle w:val="Heading1"/>
      </w:pPr>
      <w:r>
        <w:t>通知说明</w:t>
      </w:r>
    </w:p>
    <w:p>
      <w:r>
        <w:t>编号009号及2026.08.20、版别和金额来自原文件名。缴款主体、账户、用途和真实截止日期未知。下面的截止日期只是两版不一致情境的实验值，不能当作原款项要求。</w:t>
      </w:r>
    </w:p>
    <w:p>
      <w:pPr>
        <w:pStyle w:val="Heading1"/>
      </w:pPr>
      <w:r>
        <w:t>通知字段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字段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初始值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通知版本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信托版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通知金额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100万元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出具日期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2026-08-20（原文件名日期）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实验截止日期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2026-08-24（原真实期限未恢复）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缴款人 / 收款人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待填写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收款账户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TEST-ACCOUNT-信托（非真实银行账户）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款项用途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待据原交易合同补充</w:t>
            </w:r>
          </w:p>
        </w:tc>
      </w:tr>
      <w:tr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凭证与签署</w:t>
            </w:r>
          </w:p>
        </w:tc>
        <w:tc>
          <w:tcPr>
            <w:tcW w:type="dxa" w:w="4896"/>
          </w:tcPr>
          <w:p>
            <w:pPr>
              <w:spacing w:after="60"/>
            </w:pPr>
            <w:r>
              <w:rPr>
                <w:sz w:val="19"/>
              </w:rPr>
              <w:t>未提供</w:t>
            </w:r>
          </w:p>
        </w:tc>
      </w:tr>
    </w:tbl>
    <w:p>
      <w:pPr>
        <w:pStyle w:val="Heading1"/>
      </w:pPr>
      <w:r>
        <w:t>操作信息</w:t>
      </w:r>
    </w:p>
    <w:p>
      <w:r>
        <w:t>缴款前需核对合同义务、通知相对人、金额、期限和到账凭证。本稿没有完成两版比较或替用户修改条件。</w:t>
      </w:r>
    </w:p>
    <w:p>
      <w:r>
        <w:t>两版金额分别保留100万元、210万元；不把两份金额合并为同一笔应付款，也不虚造310万元交易总价。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