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中科创星补充问题实验输入</w:t>
      </w:r>
    </w:p>
    <w:p>
      <w:r>
        <w:t>实验输入材料 原附件字节未恢复 不含历史AI答案</w:t>
      </w:r>
    </w:p>
    <w:p>
      <w:pPr>
        <w:pStyle w:val="Heading1"/>
      </w:pPr>
      <w:r>
        <w:t>材料状态</w:t>
      </w:r>
    </w:p>
    <w:p>
      <w:r>
        <w:t>原补充问题正文和完整题号没有恢复。本实验表用于同源尽调问题回复，保留问题与负责人的字段；第二版作为当前用户重新上传的输入，不自动沿用旧版答复。</w:t>
      </w:r>
    </w:p>
    <w:p>
      <w:pPr>
        <w:pStyle w:val="Heading1"/>
      </w:pPr>
      <w:r>
        <w:t>初始尽调问题</w:t>
      </w:r>
    </w:p>
    <w:tbl>
      <w:tblPr>
        <w:tblStyle w:val="TableGrid"/>
        <w:tblW w:type="auto" w:w="0"/>
        <w:tblLook w:firstColumn="1" w:firstRow="1" w:lastColumn="0" w:lastRow="0" w:noHBand="0" w:noVBand="1" w:val="04A0"/>
      </w:tblPr>
      <w:tblGrid>
        <w:gridCol w:w="2448"/>
        <w:gridCol w:w="2448"/>
        <w:gridCol w:w="2448"/>
        <w:gridCol w:w="2448"/>
      </w:tblGrid>
      <w:tr>
        <w:trPr>
          <w:tblHeader/>
        </w:trPr>
        <w:tc>
          <w:tcPr>
            <w:tcW w:type="dxa" w:w="2448"/>
          </w:tcPr>
          <w:p>
            <w:pPr>
              <w:spacing w:after="60"/>
            </w:pPr>
            <w:r>
              <w:rPr>
                <w:sz w:val="19"/>
              </w:rPr>
              <w:t>实验问题编号</w:t>
            </w:r>
          </w:p>
        </w:tc>
        <w:tc>
          <w:tcPr>
            <w:tcW w:type="dxa" w:w="2448"/>
          </w:tcPr>
          <w:p>
            <w:pPr>
              <w:spacing w:after="60"/>
            </w:pPr>
            <w:r>
              <w:rPr>
                <w:sz w:val="19"/>
              </w:rPr>
              <w:t>问题</w:t>
            </w:r>
          </w:p>
        </w:tc>
        <w:tc>
          <w:tcPr>
            <w:tcW w:type="dxa" w:w="2448"/>
          </w:tcPr>
          <w:p>
            <w:pPr>
              <w:spacing w:after="60"/>
            </w:pPr>
            <w:r>
              <w:rPr>
                <w:sz w:val="19"/>
              </w:rPr>
              <w:t>回复负责人</w:t>
            </w:r>
          </w:p>
        </w:tc>
        <w:tc>
          <w:tcPr>
            <w:tcW w:type="dxa" w:w="2448"/>
          </w:tcPr>
          <w:p>
            <w:pPr>
              <w:spacing w:after="60"/>
            </w:pPr>
            <w:r>
              <w:rPr>
                <w:sz w:val="19"/>
              </w:rPr>
              <w:t>答复状态</w:t>
            </w:r>
          </w:p>
        </w:tc>
      </w:tr>
      <w:tr>
        <w:tc>
          <w:tcPr>
            <w:tcW w:type="dxa" w:w="2448"/>
          </w:tcPr>
          <w:p>
            <w:pPr>
              <w:spacing w:after="60"/>
            </w:pPr>
            <w:r>
              <w:rPr>
                <w:sz w:val="19"/>
              </w:rPr>
              <w:t>Q01</w:t>
            </w:r>
          </w:p>
        </w:tc>
        <w:tc>
          <w:tcPr>
            <w:tcW w:type="dxa" w:w="2448"/>
          </w:tcPr>
          <w:p>
            <w:pPr>
              <w:spacing w:after="60"/>
            </w:pPr>
            <w:r>
              <w:rPr>
                <w:sz w:val="19"/>
              </w:rPr>
              <w:t>公司管线、机理与当前阶段是什么</w:t>
            </w:r>
          </w:p>
        </w:tc>
        <w:tc>
          <w:tcPr>
            <w:tcW w:type="dxa" w:w="2448"/>
          </w:tcPr>
          <w:p>
            <w:pPr>
              <w:spacing w:after="60"/>
            </w:pPr>
            <w:r>
              <w:rPr>
                <w:sz w:val="19"/>
              </w:rPr>
              <w:t>孔德强或团队待确认</w:t>
            </w:r>
          </w:p>
        </w:tc>
        <w:tc>
          <w:tcPr>
            <w:tcW w:type="dxa" w:w="2448"/>
          </w:tcPr>
          <w:p>
            <w:pPr>
              <w:spacing w:after="60"/>
            </w:pPr>
            <w:r>
              <w:rPr>
                <w:sz w:val="19"/>
              </w:rPr>
              <w:t>留空</w:t>
            </w:r>
          </w:p>
        </w:tc>
      </w:tr>
      <w:tr>
        <w:tc>
          <w:tcPr>
            <w:tcW w:type="dxa" w:w="2448"/>
          </w:tcPr>
          <w:p>
            <w:pPr>
              <w:spacing w:after="60"/>
            </w:pPr>
            <w:r>
              <w:rPr>
                <w:sz w:val="19"/>
              </w:rPr>
              <w:t>Q02</w:t>
            </w:r>
          </w:p>
        </w:tc>
        <w:tc>
          <w:tcPr>
            <w:tcW w:type="dxa" w:w="2448"/>
          </w:tcPr>
          <w:p>
            <w:pPr>
              <w:spacing w:after="60"/>
            </w:pPr>
            <w:r>
              <w:rPr>
                <w:sz w:val="19"/>
              </w:rPr>
              <w:t>关键技术证据和独立复核有哪些</w:t>
            </w:r>
          </w:p>
        </w:tc>
        <w:tc>
          <w:tcPr>
            <w:tcW w:type="dxa" w:w="2448"/>
          </w:tcPr>
          <w:p>
            <w:pPr>
              <w:spacing w:after="60"/>
            </w:pPr>
            <w:r>
              <w:rPr>
                <w:sz w:val="19"/>
              </w:rPr>
              <w:t>待确认</w:t>
            </w:r>
          </w:p>
        </w:tc>
        <w:tc>
          <w:tcPr>
            <w:tcW w:type="dxa" w:w="2448"/>
          </w:tcPr>
          <w:p>
            <w:pPr>
              <w:spacing w:after="60"/>
            </w:pPr>
            <w:r>
              <w:rPr>
                <w:sz w:val="19"/>
              </w:rPr>
              <w:t>留空</w:t>
            </w:r>
          </w:p>
        </w:tc>
      </w:tr>
      <w:tr>
        <w:tc>
          <w:tcPr>
            <w:tcW w:type="dxa" w:w="2448"/>
          </w:tcPr>
          <w:p>
            <w:pPr>
              <w:spacing w:after="60"/>
            </w:pPr>
            <w:r>
              <w:rPr>
                <w:sz w:val="19"/>
              </w:rPr>
              <w:t>Q03</w:t>
            </w:r>
          </w:p>
        </w:tc>
        <w:tc>
          <w:tcPr>
            <w:tcW w:type="dxa" w:w="2448"/>
          </w:tcPr>
          <w:p>
            <w:pPr>
              <w:spacing w:after="60"/>
            </w:pPr>
            <w:r>
              <w:rPr>
                <w:sz w:val="19"/>
              </w:rPr>
              <w:t>知识产权权属和排他合作安排如何</w:t>
            </w:r>
          </w:p>
        </w:tc>
        <w:tc>
          <w:tcPr>
            <w:tcW w:type="dxa" w:w="2448"/>
          </w:tcPr>
          <w:p>
            <w:pPr>
              <w:spacing w:after="60"/>
            </w:pPr>
            <w:r>
              <w:rPr>
                <w:sz w:val="19"/>
              </w:rPr>
              <w:t>待确认</w:t>
            </w:r>
          </w:p>
        </w:tc>
        <w:tc>
          <w:tcPr>
            <w:tcW w:type="dxa" w:w="2448"/>
          </w:tcPr>
          <w:p>
            <w:pPr>
              <w:spacing w:after="60"/>
            </w:pPr>
            <w:r>
              <w:rPr>
                <w:sz w:val="19"/>
              </w:rPr>
              <w:t>留空</w:t>
            </w:r>
          </w:p>
        </w:tc>
      </w:tr>
      <w:tr>
        <w:tc>
          <w:tcPr>
            <w:tcW w:type="dxa" w:w="2448"/>
          </w:tcPr>
          <w:p>
            <w:pPr>
              <w:spacing w:after="60"/>
            </w:pPr>
            <w:r>
              <w:rPr>
                <w:sz w:val="19"/>
              </w:rPr>
              <w:t>Q04</w:t>
            </w:r>
          </w:p>
        </w:tc>
        <w:tc>
          <w:tcPr>
            <w:tcW w:type="dxa" w:w="2448"/>
          </w:tcPr>
          <w:p>
            <w:pPr>
              <w:spacing w:after="60"/>
            </w:pPr>
            <w:r>
              <w:rPr>
                <w:sz w:val="19"/>
              </w:rPr>
              <w:t>生产放大、批次质量和工艺记录是什么</w:t>
            </w:r>
          </w:p>
        </w:tc>
        <w:tc>
          <w:tcPr>
            <w:tcW w:type="dxa" w:w="2448"/>
          </w:tcPr>
          <w:p>
            <w:pPr>
              <w:spacing w:after="60"/>
            </w:pPr>
            <w:r>
              <w:rPr>
                <w:sz w:val="19"/>
              </w:rPr>
              <w:t>孔德强或团队待确认</w:t>
            </w:r>
          </w:p>
        </w:tc>
        <w:tc>
          <w:tcPr>
            <w:tcW w:type="dxa" w:w="2448"/>
          </w:tcPr>
          <w:p>
            <w:pPr>
              <w:spacing w:after="60"/>
            </w:pPr>
            <w:r>
              <w:rPr>
                <w:sz w:val="19"/>
              </w:rPr>
              <w:t>留空</w:t>
            </w:r>
          </w:p>
        </w:tc>
      </w:tr>
      <w:tr>
        <w:tc>
          <w:tcPr>
            <w:tcW w:type="dxa" w:w="2448"/>
          </w:tcPr>
          <w:p>
            <w:pPr>
              <w:spacing w:after="60"/>
            </w:pPr>
            <w:r>
              <w:rPr>
                <w:sz w:val="19"/>
              </w:rPr>
              <w:t>Q05</w:t>
            </w:r>
          </w:p>
        </w:tc>
        <w:tc>
          <w:tcPr>
            <w:tcW w:type="dxa" w:w="2448"/>
          </w:tcPr>
          <w:p>
            <w:pPr>
              <w:spacing w:after="60"/>
            </w:pPr>
            <w:r>
              <w:rPr>
                <w:sz w:val="19"/>
              </w:rPr>
              <w:t>临床/食品用途、伦理与监管路径分别是什么</w:t>
            </w:r>
          </w:p>
        </w:tc>
        <w:tc>
          <w:tcPr>
            <w:tcW w:type="dxa" w:w="2448"/>
          </w:tcPr>
          <w:p>
            <w:pPr>
              <w:spacing w:after="60"/>
            </w:pPr>
            <w:r>
              <w:rPr>
                <w:sz w:val="19"/>
              </w:rPr>
              <w:t>待确认</w:t>
            </w:r>
          </w:p>
        </w:tc>
        <w:tc>
          <w:tcPr>
            <w:tcW w:type="dxa" w:w="2448"/>
          </w:tcPr>
          <w:p>
            <w:pPr>
              <w:spacing w:after="60"/>
            </w:pPr>
            <w:r>
              <w:rPr>
                <w:sz w:val="19"/>
              </w:rPr>
              <w:t>留空</w:t>
            </w:r>
          </w:p>
        </w:tc>
      </w:tr>
      <w:tr>
        <w:tc>
          <w:tcPr>
            <w:tcW w:type="dxa" w:w="2448"/>
          </w:tcPr>
          <w:p>
            <w:pPr>
              <w:spacing w:after="60"/>
            </w:pPr>
            <w:r>
              <w:rPr>
                <w:sz w:val="19"/>
              </w:rPr>
              <w:t>Q06</w:t>
            </w:r>
          </w:p>
        </w:tc>
        <w:tc>
          <w:tcPr>
            <w:tcW w:type="dxa" w:w="2448"/>
          </w:tcPr>
          <w:p>
            <w:pPr>
              <w:spacing w:after="60"/>
            </w:pPr>
            <w:r>
              <w:rPr>
                <w:sz w:val="19"/>
              </w:rPr>
              <w:t>现有合作和融资文件是否有约束性</w:t>
            </w:r>
          </w:p>
        </w:tc>
        <w:tc>
          <w:tcPr>
            <w:tcW w:type="dxa" w:w="2448"/>
          </w:tcPr>
          <w:p>
            <w:pPr>
              <w:spacing w:after="60"/>
            </w:pPr>
            <w:r>
              <w:rPr>
                <w:sz w:val="19"/>
              </w:rPr>
              <w:t>待确认</w:t>
            </w:r>
          </w:p>
        </w:tc>
        <w:tc>
          <w:tcPr>
            <w:tcW w:type="dxa" w:w="2448"/>
          </w:tcPr>
          <w:p>
            <w:pPr>
              <w:spacing w:after="60"/>
            </w:pPr>
            <w:r>
              <w:rPr>
                <w:sz w:val="19"/>
              </w:rPr>
              <w:t>留空</w:t>
            </w:r>
          </w:p>
        </w:tc>
      </w:tr>
      <w:tr>
        <w:tc>
          <w:tcPr>
            <w:tcW w:type="dxa" w:w="2448"/>
          </w:tcPr>
          <w:p>
            <w:pPr>
              <w:spacing w:after="60"/>
            </w:pPr>
            <w:r>
              <w:rPr>
                <w:sz w:val="19"/>
              </w:rPr>
              <w:t>Q07</w:t>
            </w:r>
          </w:p>
        </w:tc>
        <w:tc>
          <w:tcPr>
            <w:tcW w:type="dxa" w:w="2448"/>
          </w:tcPr>
          <w:p>
            <w:pPr>
              <w:spacing w:after="60"/>
            </w:pPr>
            <w:r>
              <w:rPr>
                <w:sz w:val="19"/>
              </w:rPr>
              <w:t>友商、竞争窗口和差异化证据是什么</w:t>
            </w:r>
          </w:p>
        </w:tc>
        <w:tc>
          <w:tcPr>
            <w:tcW w:type="dxa" w:w="2448"/>
          </w:tcPr>
          <w:p>
            <w:pPr>
              <w:spacing w:after="60"/>
            </w:pPr>
            <w:r>
              <w:rPr>
                <w:sz w:val="19"/>
              </w:rPr>
              <w:t>待确认</w:t>
            </w:r>
          </w:p>
        </w:tc>
        <w:tc>
          <w:tcPr>
            <w:tcW w:type="dxa" w:w="2448"/>
          </w:tcPr>
          <w:p>
            <w:pPr>
              <w:spacing w:after="60"/>
            </w:pPr>
            <w:r>
              <w:rPr>
                <w:sz w:val="19"/>
              </w:rPr>
              <w:t>留空</w:t>
            </w:r>
          </w:p>
        </w:tc>
      </w:tr>
    </w:tbl>
    <w:p>
      <w:pPr>
        <w:pStyle w:val="Heading1"/>
      </w:pPr>
      <w:r>
        <w:t>输入边界</w:t>
      </w:r>
    </w:p>
    <w:p>
      <w:r>
        <w:t>这些Q编号和问题为实验初始题目，不冒称原全部题号。未在初始上传轮写入后来用户提供的酶活比例、工程菌状态、平台机理或伙伴协议事实。</w:t>
      </w:r>
    </w:p>
    <w:p>
      <w:r>
        <w:t>需要原全部问题及公司实际数据才能保证回复内容与历史尽调材料相同。</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