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国巡机器人人资总监实验初始JD</w:t>
      </w:r>
    </w:p>
    <w:p>
      <w:r>
        <w:t>实验输入材料 原附件字节未恢复 不含历史AI答案</w:t>
      </w:r>
    </w:p>
    <w:p>
      <w:pPr>
        <w:pStyle w:val="Heading1"/>
      </w:pPr>
      <w:r>
        <w:t>岗位说明</w:t>
      </w:r>
    </w:p>
    <w:p>
      <w:r>
        <w:t>原人资总监JD全文未知。本实验初稿面向机器人企业的人力管理，提供可用职责段落，尚未完成用户要求的标准JD优化。</w:t>
      </w:r>
    </w:p>
    <w:p>
      <w:pPr>
        <w:pStyle w:val="Heading1"/>
      </w:pPr>
      <w:r>
        <w:t>职责初稿</w:t>
      </w:r>
    </w:p>
    <w:p>
      <w:r>
        <w:t>组织人力需求及岗位责任登记，推进研发、制造和交付人才招聘，协调绩效、薪酬、培训与员工关系记录。</w:t>
      </w:r>
    </w:p>
    <w:p>
      <w:r>
        <w:t>对管理方案登记适用对象、业务需求、沟通记录和实施状态；不得只用招聘人数替代岗位质量。</w:t>
      </w:r>
    </w:p>
    <w:p>
      <w:pPr>
        <w:pStyle w:val="Heading1"/>
      </w:pPr>
      <w:r>
        <w:t>任职与条件</w:t>
      </w:r>
    </w:p>
    <w:p>
      <w:r>
        <w:t>实验初始能力关注组织与业务理解、招聘协作、绩效实施和跨部门沟通。原学历、工作年限、薪资、工作地点和实际团队规模未恢复，不借其他source的HRD硬门槛填充。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