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3D打印行业研究实验初稿</w:t>
      </w:r>
    </w:p>
    <w:p>
      <w:r>
        <w:t>实验输入材料 原附件字节未恢复 不含历史AI答案</w:t>
      </w:r>
    </w:p>
    <w:p>
      <w:pPr>
        <w:pStyle w:val="Heading1"/>
      </w:pPr>
      <w:r>
        <w:t>分析范围</w:t>
      </w:r>
    </w:p>
    <w:p>
      <w:r>
        <w:t>原报告全文和市场数据未恢复。本实验稿按材料、工艺、设备、应用与验证环节组织，供归纳与总结使用。</w:t>
      </w:r>
    </w:p>
    <w:p>
      <w:r>
        <w:t>工艺分析采用熔融沉积、光固化和粉末床加工三类实验描述，不包含具体企业销售份额或未经核实的增长率。</w:t>
      </w:r>
    </w:p>
    <w:p>
      <w:pPr>
        <w:pStyle w:val="Heading1"/>
      </w:pPr>
      <w:r>
        <w:t>产业环节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环节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实验观察对象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需要的证据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材料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丝材、树脂、粉末的批次稳定性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材料批号、复检记录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设备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控制系统、成形空间、维护状态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设备版本、运行日志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工艺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打印参数、支撑与后处理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参数记录、尺寸与强度试验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应用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小批量样件、工装、教学模型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订单要求、验收标准</w:t>
            </w:r>
          </w:p>
        </w:tc>
      </w:tr>
    </w:tbl>
    <w:p>
      <w:pPr>
        <w:pStyle w:val="Heading1"/>
      </w:pPr>
      <w:r>
        <w:t>试验记录与问题</w:t>
      </w:r>
    </w:p>
    <w:p>
      <w:r>
        <w:t>实验企业A以小批量样件服务为设定；企业B以设备维护和培训为设定。两者均为自造分析对象，不是原报告公司。</w:t>
      </w:r>
    </w:p>
    <w:p>
      <w:r>
        <w:t>需要继续补充：成本拆分、材料消耗、成形成功率、后处理时间和客户复购。原报告的实际企业、数字和信息出处未知。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