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20260828-境外二级市场资金运营方案.docx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目的与阶段  </w:t>
      </w:r>
      <w:r>
        <w:t>合世家研究境外客户资金的二级市场投资运营安排，尚处于架构分析和谈判阶段。原具体客户、真实资金余额与律师意见未恢复。</w:t>
      </w:r>
    </w:p>
    <w:p>
      <w:pPr>
        <w:keepLines/>
      </w:pPr>
      <w:r>
        <w:rPr>
          <w:b/>
        </w:rPr>
        <w:t xml:space="preserve">候选架构  </w:t>
      </w:r>
      <w:r>
        <w:t>实验方案拟设境外SPC作为账户与持仓主体；开户银行及券商待尽调，投资顾问和交易执行权限分别厘清。没有写成已成立/已开户/已交易。</w:t>
      </w:r>
    </w:p>
    <w:p>
      <w:pPr>
        <w:keepLines/>
      </w:pPr>
      <w:r>
        <w:rPr>
          <w:b/>
        </w:rPr>
        <w:t xml:space="preserve">工作问题  </w:t>
      </w:r>
      <w:r>
        <w:t>需要确认SPC股权/客户参与形式、持牌券商和顾问服务边界、资金流、KYC/AML资料、交易授权与费用对价。合规结论由运行任务核实，不先提供最终法律答案。</w:t>
      </w:r>
    </w:p>
    <w:p>
      <w:pPr>
        <w:keepLines/>
      </w:pPr>
      <w:r>
        <w:rPr>
          <w:b/>
        </w:rPr>
        <w:t xml:space="preserve">当前资料  </w:t>
      </w:r>
      <w:r>
        <w:t>已整理开户与牌照资料需求清单、讨论董事授权及账户操作路径；真实牌照、注册证明及客户签字尚缺。</w:t>
      </w:r>
    </w:p>
    <w:p>
      <w:pPr>
        <w:keepLines/>
      </w:pPr>
      <w:r>
        <w:rPr>
          <w:b/>
        </w:rPr>
        <w:t xml:space="preserve">月报输入  </w:t>
      </w:r>
      <w:r>
        <w:t>本文件记录当前架构讨论和资料收集状态；当前事项尚待相关团队确认，未形成已执行交易的记录。</w:t>
      </w:r>
    </w:p>
    <w:p>
      <w:pPr>
        <w:keepLines/>
      </w:pPr>
      <w:r>
        <w:rPr>
          <w:b/>
        </w:rPr>
        <w:t xml:space="preserve">签署  </w:t>
      </w:r>
      <w:r>
        <w:t>未形成真实投资授权，签章日期留空。本文件为可读可编辑的实验方案初稿。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20260828-境外二级市场资金运营方案.docx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