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TTFA二期内测反馈实验跟进报告</w:t>
      </w:r>
    </w:p>
    <w:p>
      <w:r>
        <w:t>实验输入材料 原附件字节未恢复 不含历史AI答案</w:t>
      </w:r>
    </w:p>
    <w:p>
      <w:pPr>
        <w:pStyle w:val="Heading1"/>
      </w:pPr>
      <w:r>
        <w:t>项目范围</w:t>
      </w:r>
    </w:p>
    <w:p>
      <w:r>
        <w:t>原报告具体问题和已解决状态未知。依据用户已给，TTFA二期拟到鹭江实验室验收，并准备第三期收款；前期开展过内测。本稿提供初始反馈记录，不等于验收通过或已完成培训。</w:t>
      </w:r>
    </w:p>
    <w:p>
      <w:pPr>
        <w:pStyle w:val="Heading1"/>
      </w:pPr>
      <w:r>
        <w:t>实验内测问题记录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/>
        </w:trP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编号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问题现象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复现条件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当前状态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待验收证据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T01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评审页面部分字段未保存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编辑后关闭重开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实验待核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保存与重开记录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T02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评审附件导出格式不一致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多个文件导出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实验待核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导出样例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T03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账户对项目权限不明确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不同角色访问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实验待核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角色权限表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T04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使用者不熟悉评审流程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首次使用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实验待核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培训材料与操作演示</w:t>
            </w:r>
          </w:p>
        </w:tc>
      </w:tr>
    </w:tbl>
    <w:p>
      <w:pPr>
        <w:pStyle w:val="Heading1"/>
      </w:pPr>
      <w:r>
        <w:t>验收准备资料</w:t>
      </w:r>
    </w:p>
    <w:p>
      <w:r>
        <w:t>初始材料字段：问题责任人、修复版本、操作演示、回归结果、用户确认和遗留项。本稿尚未安排培训指导验收会或拟写给负责人邮件。</w:t>
      </w:r>
    </w:p>
    <w:p>
      <w:r>
        <w:t>真实问题清单、软件版本、合同里程碑、第三期金额及收款触发条款未恢复。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