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瑞联新材：2021年限制性股票激励计划法律意见书(定稿)_20210929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甲方为实验委托方，乙方为实验服务方。本协议草案围绕瑞联新材：2021年限制性股票激励计划法律意见书(定稿)_20210929提供业务材料收集、技术咨询与阶段方案讨论。双方均为虚构测试主体。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瑞联新材：2021年限制性股票激励计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20</w:t>
            </w:r>
          </w:p>
        </w:tc>
        <w:tc>
          <w:tcPr>
            <w:tcW w:type="dxa" w:w="1704"/>
          </w:tcPr>
          <w:p>
            <w:r>
              <w:t>20838.0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瑞联新材：2021年限制性股票激励计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8237.88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瑞联新材：2021年限制性股票激励计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12992.22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瑞联新材：2021年限制性股票激励计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38</w:t>
            </w:r>
          </w:p>
        </w:tc>
        <w:tc>
          <w:tcPr>
            <w:tcW w:type="dxa" w:w="1704"/>
          </w:tcPr>
          <w:p>
            <w:r>
              <w:t>17006.9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瑞联新材：2021年限制性股票激励计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32642.88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