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生合万物业务线梳理实验输入</w:t>
      </w:r>
    </w:p>
    <w:p>
      <w:r>
        <w:t>实验输入材料 原附件字节未恢复 不含历史AI答案</w:t>
      </w:r>
    </w:p>
    <w:p>
      <w:pPr>
        <w:pStyle w:val="Heading1"/>
      </w:pPr>
      <w:r>
        <w:t>业务材料</w:t>
      </w:r>
    </w:p>
    <w:p>
      <w:r>
        <w:t>公司称谓来自原用户。原业务线梳理正文未知，本件只按同源已具名的采购、设计、加工、销售与店铺运营等合同输入整理初始待核记录，不预给诈骗结论。</w:t>
      </w:r>
    </w:p>
    <w:p>
      <w:pPr>
        <w:pStyle w:val="Heading1"/>
      </w:pPr>
      <w:r>
        <w:t>合同与活动台账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活动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初始核对对象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尚缺原证据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设计服务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交付版本、验收和权利归属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具体合同与验收记录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采购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产品、交期、付款与质量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真实订单、发票、收货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销售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客户、数量、开票和回款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真实往来和发货凭证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加工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原料、加工结果和损耗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批次和工艺交接</w:t>
            </w:r>
          </w:p>
        </w:tc>
      </w:tr>
      <w:tr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店铺运营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Cultiva100天猫店活动、投放与销售结算</w:t>
            </w:r>
          </w:p>
        </w:tc>
        <w:tc>
          <w:tcPr>
            <w:tcW w:type="dxa" w:w="3264"/>
          </w:tcPr>
          <w:p>
            <w:pPr>
              <w:spacing w:after="60"/>
            </w:pPr>
            <w:r>
              <w:rPr>
                <w:sz w:val="19"/>
              </w:rPr>
              <w:t>真实后台与合同价款</w:t>
            </w:r>
          </w:p>
        </w:tc>
      </w:tr>
    </w:tbl>
    <w:p>
      <w:pPr>
        <w:pStyle w:val="Heading1"/>
      </w:pPr>
      <w:r>
        <w:t>事实核对边界</w:t>
      </w:r>
    </w:p>
    <w:p>
      <w:r>
        <w:t>上海生合与北京佳乐优等主体关系、各笔价款、付款对手、批准流程与实际受益人需要回到同源交易材料核实。本件没有虚构统一15万元合同价款。</w:t>
      </w:r>
    </w:p>
    <w:p>
      <w:r>
        <w:t>资金流水、推广对账与合同总价分开登记；实验推广费用不当作真实发票或合同总价。</w:t>
      </w:r>
    </w:p>
    <w:p>
      <w:r>
        <w:t>当前输入仅提供业务活动初始结构，原诈骗证据、实际控制人和真实交易履约未知。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