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关于西安戴维新材料有限公司法律尽职调查报告-202609.doc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报告范围  </w:t>
      </w:r>
      <w:r>
        <w:t>标的公司：西安戴维新材料有限公司。受公司委托，为拟股权融资准备法律尽调初稿。本版实验统计截止2026年6月30日；未恢复真实律师签章。</w:t>
      </w:r>
    </w:p>
    <w:p>
      <w:pPr>
        <w:keepLines/>
      </w:pPr>
      <w:r>
        <w:rPr>
          <w:b/>
        </w:rPr>
        <w:t xml:space="preserve">第一部分 法律问题和风险提示  </w:t>
      </w:r>
      <w:r>
        <w:t>一、关于股东特殊权利条款：待根据第二部分协议整理后补充。二、关于生产与资质：拟结合许可及委外材料核实。三、关于知识产权的风险：待根据专利及许可统计补充。此段保留未完成草稿，尚未作用户本轮补充分析。</w:t>
      </w:r>
    </w:p>
    <w:p>
      <w:pPr>
        <w:keepLines/>
      </w:pPr>
      <w:r>
        <w:rPr>
          <w:b/>
        </w:rPr>
        <w:t xml:space="preserve">第二部分 2.1 公司与融资  </w:t>
      </w:r>
      <w:r>
        <w:t>融资尚在准备。实验股权统计沿用同源璟原股东协议：创始团队60%、璟原投资30%、员工平台10%，合计100%；注册资本1000万元。出资与投融资文件需核查，不视为现实已完成融资。</w:t>
      </w:r>
    </w:p>
    <w:p>
      <w:pPr>
        <w:keepLines/>
      </w:pPr>
      <w:r>
        <w:rPr>
          <w:b/>
        </w:rPr>
        <w:t xml:space="preserve">2.2 股东特别权利  </w:t>
      </w:r>
      <w:r>
        <w:t>初始材料列有重大事项特别同意、信息查阅、优先认购、共同出售、回购退出。具体条号应以该来源已投递的璟原股东协议为准，报告未提前给出用户需要新增的风险摘要。</w:t>
      </w:r>
    </w:p>
    <w:p>
      <w:pPr>
        <w:keepLines/>
      </w:pPr>
      <w:r>
        <w:rPr>
          <w:b/>
        </w:rPr>
        <w:t xml:space="preserve">4.1 知识产权  </w:t>
      </w:r>
      <w:r>
        <w:t>根据本会话用户对原报告事实的说明，自有专利占比较低，其他知识产权通过授权或许可取得；申请节奏主要集中在2024年前及2026年。为比较口径设置期末专利台账：截至2026年6月30日，实验专利10项、自有4项、许可6项。真实专利号、类别、权属及公开检索结果未恢复。</w:t>
      </w:r>
    </w:p>
    <w:p>
      <w:pPr>
        <w:keepLines/>
      </w:pPr>
      <w:r>
        <w:rPr>
          <w:b/>
        </w:rPr>
        <w:t xml:space="preserve">5.2 许可与地址  </w:t>
      </w:r>
      <w:r>
        <w:t>依原用户明确说明，经营地址变更需办理危险化学品经营许可证变更，预计约20个工作日完成。手续尚在办理，未假造已经办结的许可或主管机关文书。</w:t>
      </w:r>
    </w:p>
    <w:p>
      <w:pPr>
        <w:keepLines/>
      </w:pPr>
      <w:r>
        <w:rPr>
          <w:b/>
        </w:rPr>
        <w:t xml:space="preserve">5.3 研发与生产  </w:t>
      </w:r>
      <w:r>
        <w:t>实验室承担工艺研发、工艺优化及1kg—200kg小批量洁净订单。自有产能需年产500吨光刻胶单体、新型显示单体和感光树脂项目建成投产后形成。现阶段主要委外加工，山东汶上承接过半产能，湖北、西安、辽宁外协协助；事实描述来自原用户，原许可和委托合同正文未认证。</w:t>
      </w:r>
    </w:p>
    <w:p>
      <w:pPr>
        <w:keepLines/>
      </w:pPr>
      <w:r>
        <w:rPr>
          <w:b/>
        </w:rPr>
        <w:t xml:space="preserve">资料清单与签署  </w:t>
      </w:r>
      <w:r>
        <w:t>待核资料：股东协议、专利权属登记、许可文件、委外协议、危化许可变更受理材料。原报告尚未给出完整风险结论。签章和报告签发日期留空。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关于西安戴维新材料有限公司法律尽职调查报告-202609.doc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