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AI与数字病理研究材料</w:t>
      </w:r>
    </w:p>
    <w:p>
      <w:r>
        <w:t>实验合成输入；并非原研究报告。原研究数据、图像和结论没有恢复。</w:t>
      </w:r>
    </w:p>
    <w:p>
      <w:pPr>
        <w:pStyle w:val="Heading1"/>
      </w:pPr>
      <w:r>
        <w:t>材料范围</w:t>
      </w:r>
    </w:p>
    <w:p>
      <w:r>
        <w:t>本报告是实验领域材料，讨论AI辅助数字病理的工作环节。没有使用真实患者信息，也没有声称复现某篇公开论文。诊断与治疗决策仍需符合实际医疗流程。</w:t>
      </w:r>
    </w:p>
    <w:p>
      <w:pPr>
        <w:pStyle w:val="Heading1"/>
      </w:pPr>
      <w:r>
        <w:t>数字切片与资料</w:t>
      </w:r>
    </w:p>
    <w:p>
      <w:r>
        <w:t>数字病理资料由切片图像、标本标识、采集记录和观察描述组成。图像处理前需核对标本对应关系、扫描质量、分辨率和染色差异；明显失焦或缺损区域应保留质量标记。</w:t>
      </w:r>
    </w:p>
    <w:p>
      <w:pPr>
        <w:pStyle w:val="Heading1"/>
      </w:pPr>
      <w:r>
        <w:t>辅助任务</w:t>
      </w:r>
    </w:p>
    <w:p>
      <w:r>
        <w:t>AI辅助可用于组织区域定位、图像质量检查和目标结构计数。其输出应与原图区域相对应，便于专业人员查看。只凭自动生成文字不能证明诊断准确或适用临床。</w:t>
      </w:r>
    </w:p>
    <w:p>
      <w:pPr>
        <w:pStyle w:val="Heading1"/>
      </w:pPr>
      <w:r>
        <w:t>研究记录</w:t>
      </w:r>
    </w:p>
    <w:p>
      <w:r>
        <w:t>实验记录包含样本编号、图像版本、扫描质量、标注人员、任务类型和复核结果。数据集划分需考虑同一患者或同一标本的关联，避免相关图像同时进入训练和评估。</w:t>
      </w:r>
    </w:p>
    <w:p>
      <w:pPr>
        <w:pStyle w:val="Heading1"/>
      </w:pPr>
      <w:r>
        <w:t>评估设计</w:t>
      </w:r>
    </w:p>
    <w:p>
      <w:r>
        <w:t>根据具体任务选择定位、计数或分类指标。对低质量图像、不同扫描条件和不同样本来源分别检查，保留失败案例；将辅助任务质量与最终临床效用区分。</w:t>
      </w:r>
    </w:p>
    <w:p>
      <w:pPr>
        <w:pStyle w:val="Heading1"/>
      </w:pPr>
      <w:r>
        <w:t>讨论素材</w:t>
      </w:r>
    </w:p>
    <w:p>
      <w:r>
        <w:t>讨论资料准备、区域对应、专业复核与数据划分四个环节。后续演示材料可按背景、资料流程、辅助任务、评估设计和局限组织；实际页数与视觉风格由执行任务的agent决定。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