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瑞联新材：2021年限制性股票激励计划首次授予相关事项的法律意见书（初稿）_20211022.doc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范围与材料  </w:t>
      </w:r>
      <w:r>
        <w:t>西安瑞联新材料股份有限公司2021年限制性股票激励计划的实验法律意见文本。所据材料为激励草案、考核办法、对象确认及访谈；原律师资格、签章及真实核查事实未知。</w:t>
      </w:r>
    </w:p>
    <w:p>
      <w:pPr>
        <w:keepLines/>
      </w:pPr>
      <w:r>
        <w:rPr>
          <w:b/>
        </w:rPr>
        <w:t xml:space="preserve">一、主体与程序  </w:t>
      </w:r>
      <w:r>
        <w:t>核查公司章程、决议、激励草案审议及名单公示材料；实验文本记载资料已收到但部分签字、时点待核。未认证真实董事会或股东会批准。</w:t>
      </w:r>
    </w:p>
    <w:p>
      <w:pPr>
        <w:keepLines/>
      </w:pPr>
      <w:r>
        <w:rPr>
          <w:b/>
        </w:rPr>
        <w:t xml:space="preserve">二、授予安排  </w:t>
      </w:r>
      <w:r>
        <w:t>实验对象A20000股、每股10元、三期归属比例40%/30%/30%。授予日、实际股数及个人资格仍需原名单复核；对象B自愿放弃，对象C持股6%未参加。</w:t>
      </w:r>
    </w:p>
    <w:p>
      <w:pPr>
        <w:keepLines/>
      </w:pPr>
      <w:r>
        <w:rPr>
          <w:b/>
        </w:rPr>
        <w:t xml:space="preserve">三、首次授予专项核查  </w:t>
      </w:r>
      <w:r>
        <w:t>重点核查对象资格、交易记录、授予条件和披露程序。原文法律引用及真实性未恢复，不能把标题“定稿”升级为真实已出具法律意见。</w:t>
      </w:r>
    </w:p>
    <w:p>
      <w:pPr>
        <w:keepLines/>
      </w:pPr>
      <w:r>
        <w:rPr>
          <w:b/>
        </w:rPr>
        <w:t xml:space="preserve">四、初始意见边界  </w:t>
      </w:r>
      <w:r>
        <w:t>本实验文本只记录核查事项及资料缺口，供用户学习/比较材料使用。正式合规结论应以真实事实和规则形成，不使用历史AI回复作为本输入。</w:t>
      </w:r>
    </w:p>
    <w:p>
      <w:pPr>
        <w:keepLines/>
      </w:pPr>
      <w:r>
        <w:rPr>
          <w:b/>
        </w:rPr>
        <w:t xml:space="preserve">签署  </w:t>
      </w:r>
      <w:r>
        <w:t>实验文本未签署；真实律师/律所名称、执业证及报告日期留空。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瑞联新材：2021年限制性股票激励计划首次授予相关事项的法律意见书（初稿）_20211022.doc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