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我方技术响应方案.docx</w:t>
      </w:r>
    </w:p>
    <w:p>
      <w:r>
        <w:rPr>
          <w:sz w:val="16"/>
        </w:rPr>
        <w:t>实验合成初始输入；不是原企业文件。具名主题/原输入角色保留，未给出事实和金额为实验设置；未执行后轮修改。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对照材料范围  </w:t>
      </w:r>
      <w:r>
        <w:t>实验设备采购技术响应初稿。客户需求、我方响应和产品实际能力三套初始数据在同一文件分列，原产品、客户和正式协议未恢复，不提前提供核查结论。</w:t>
      </w:r>
    </w:p>
    <w:p>
      <w:pPr>
        <w:keepLines/>
      </w:pPr>
      <w:r>
        <w:rPr>
          <w:b/>
        </w:rPr>
        <w:t xml:space="preserve">客户需求基线R1  </w:t>
      </w:r>
      <w:r>
        <w:t>要求处理能力100件/小时；识别准确率≥99%；采用V2接口；需支持断网4小时本地缓存；交付需提供安装手册、测试报告及操作培训。</w:t>
      </w:r>
    </w:p>
    <w:p>
      <w:pPr>
        <w:keepLines/>
      </w:pPr>
      <w:r>
        <w:rPr>
          <w:b/>
        </w:rPr>
        <w:t xml:space="preserve">我方响应草案V1  </w:t>
      </w:r>
      <w:r>
        <w:t>承诺120件/小时、识别准确率99.5%；拟采用V1接口；培训1场、提供测试报告。断网缓存未单列，安装手册未列交付物。</w:t>
      </w:r>
    </w:p>
    <w:p>
      <w:pPr>
        <w:keepLines/>
      </w:pPr>
      <w:r>
        <w:rPr>
          <w:b/>
        </w:rPr>
        <w:t xml:space="preserve">产品实际能力手册V1.2  </w:t>
      </w:r>
      <w:r>
        <w:t>在实验负载下能力为80件/小时、准确率98.5%；当前版本只支持V1接口，离线缓存2小时。V2接口计划开发尚未冻结，不视为已提供能力。</w:t>
      </w:r>
    </w:p>
    <w:p>
      <w:pPr>
        <w:keepLines/>
      </w:pPr>
      <w:r>
        <w:rPr>
          <w:b/>
        </w:rPr>
        <w:t xml:space="preserve">输入范围与版本  </w:t>
      </w:r>
      <w:r>
        <w:t>三份数据是本实验人为设置的原始核查情境，数据相互差异保留给agent判断漏项、参数、版本及超范围承诺；非误恢复或用户目标提前完成。</w:t>
      </w:r>
    </w:p>
    <w:p>
      <w:pPr>
        <w:keepLines/>
      </w:pPr>
      <w:r>
        <w:rPr>
          <w:b/>
        </w:rPr>
        <w:t xml:space="preserve">签署  </w:t>
      </w:r>
      <w:r>
        <w:t>客户确认、产品认证及原测试证据未恢复。签名、审批和日期留空；后续由运行任务给出问题清单及修改建议。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我方技术响应方案.docx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