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委托生产协议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委托生产</w:t>
      </w:r>
    </w:p>
    <w:p>
      <w:r>
        <w:t>甲方为委托方，乙方为受托生产方，按订单及附件工艺规范生产。真实产品与数量未知，实验批次使用订单号、规格、数量、交期和单价字段，不虚构历史销售记录。</w:t>
      </w:r>
    </w:p>
    <w:p>
      <w:pPr>
        <w:pStyle w:val="Heading1"/>
      </w:pPr>
      <w:r>
        <w:t>原料及工艺</w:t>
      </w:r>
    </w:p>
    <w:p>
      <w:r>
        <w:t>甲方提供部分原料、包装与质量标准，乙方核对来料并保存批次记录。原料异常、正常损耗率与工艺变更由双方记录；原稿对甲方来料缺陷的责任尚未写清楚。</w:t>
      </w:r>
    </w:p>
    <w:p>
      <w:pPr>
        <w:pStyle w:val="Heading1"/>
      </w:pPr>
      <w:r>
        <w:t>验收与交付</w:t>
      </w:r>
    </w:p>
    <w:p>
      <w:r>
        <w:t>成品按双方确认的抽样方案检验，甲方接收后反馈质量异议。原稿未设异议截止、复检机构及甲方储存造成质量变化的责任界限。</w:t>
      </w:r>
    </w:p>
    <w:p>
      <w:pPr>
        <w:pStyle w:val="Heading1"/>
      </w:pPr>
      <w:r>
        <w:t>付款与库存</w:t>
      </w:r>
    </w:p>
    <w:p>
      <w:r>
        <w:t>加工费按合格成品数量结算。甲方支付周期、最低订单量与滞留原料处置尚需协商，受托方采购与排产成本按已确认订单记录。</w:t>
      </w:r>
    </w:p>
    <w:p>
      <w:pPr>
        <w:pStyle w:val="Heading1"/>
      </w:pPr>
      <w:r>
        <w:t>知识产权及终止</w:t>
      </w:r>
    </w:p>
    <w:p>
      <w:r>
        <w:t>图纸与商标由甲方授权使用，乙方既有工艺不转让。终止时核对在制品、成品和余料，质量争议与损失承担留待审阅。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