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技术转移课程论文实验初稿</w:t>
      </w:r>
    </w:p>
    <w:p>
      <w:r>
        <w:t>实验输入材料 原附件字节未恢复 不含历史AI答案</w:t>
      </w:r>
    </w:p>
    <w:p>
      <w:pPr>
        <w:pStyle w:val="Heading1"/>
      </w:pPr>
      <w:r>
        <w:t>论文范围</w:t>
      </w:r>
    </w:p>
    <w:p>
      <w:r>
        <w:t>原课程论文全文和其中既有方法论未恢复。本实验稿讨论技术成果进入应用时的证据、参与者与资源条件；作为原用户提出重新论证框架的输入，不预先完成其要求的进一步修改。</w:t>
      </w:r>
    </w:p>
    <w:p>
      <w:pPr>
        <w:pStyle w:val="Heading1"/>
      </w:pPr>
      <w:r>
        <w:t>初始框架</w:t>
      </w:r>
    </w:p>
    <w:p>
      <w:r>
        <w:t>实验初始框架包含成果权属、技术可验证性、应用场景、合作组织、资金需求和时间约束六个维度。</w:t>
      </w:r>
    </w:p>
    <w:p>
      <w:r>
        <w:t>资金需求指为完成验证或实施所需费用的存在及构成；时间约束指阶段任务与依赖的存在。本稿没有构造高/中/低分级、金额阈值或工期预测。</w:t>
      </w:r>
    </w:p>
    <w:p>
      <w:pPr>
        <w:pStyle w:val="Heading1"/>
      </w:pPr>
      <w:r>
        <w:t>框架证据字段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维度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待收集证据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权属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专利、许可、成果登记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技术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可重复测试与原始数据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场景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应用方条件与验收需求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组织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责任人、授权和合作边界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金钱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投入事项及承担方；不填具体金额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时间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任务依赖与关键事件；不填工期等级</w:t>
            </w:r>
          </w:p>
        </w:tc>
      </w:tr>
    </w:tbl>
    <w:p>
      <w:pPr>
        <w:pStyle w:val="Heading1"/>
      </w:pPr>
      <w:r>
        <w:t>局限</w:t>
      </w:r>
    </w:p>
    <w:p>
      <w:r>
        <w:t>本实验框架缺乏真实案例与多维证据。原论文中的具体命题、文献与发现未知。更多证据的确认和陈述方式是本轮任务。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