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项目与范围</w:t>
      </w:r>
    </w:p>
    <w:p>
      <w:r>
        <w:t>contract为实验项目的初始费用材料，包含需求调研、方案设计、数据整理、开发、测试与培训等工作。用户后续要求的调价、优化或分析尚未执行。</w:t>
      </w:r>
    </w:p>
    <w:p>
      <w:pPr>
        <w:pStyle w:val="Heading2"/>
      </w:pPr>
      <w:r>
        <w:t>计价口径</w:t>
      </w:r>
    </w:p>
    <w:p>
      <w:r>
        <w:t>人员成本按人数乘以投入月数乘以人月单价计算。不同岗位使用不同单价，投入允许半月粒度。税率与含税口径在表格中单列，金额以人民币计。</w:t>
      </w:r>
    </w:p>
    <w:p>
      <w:pPr>
        <w:pStyle w:val="Heading2"/>
      </w:pPr>
      <w:r>
        <w:t>工作边界</w:t>
      </w:r>
    </w:p>
    <w:p>
      <w:r>
        <w:t>接口数量、材料整理规模与用户培训次数须在需求确认时复核。固定报价不表示无限次变更；新增需求应记录范围、工时与对总成本的影响。</w:t>
      </w:r>
    </w:p>
    <w:p>
      <w:pPr>
        <w:pStyle w:val="Heading2"/>
      </w:pPr>
      <w:r>
        <w:t>输入与复核</w:t>
      </w:r>
    </w:p>
    <w:p>
      <w:r>
        <w:t>输入表保留模块、岗位、人数、投入月份及金额公式。尚未应用用户目标折扣或生成最终报价说明。任务完成后由独立检查核对金额与正文一致性。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模块名称</w:t>
            </w:r>
          </w:p>
        </w:tc>
        <w:tc>
          <w:tcPr>
            <w:tcW w:type="dxa" w:w="1704"/>
          </w:tcPr>
          <w:p>
            <w:r>
              <w:t>工作内容</w:t>
            </w:r>
          </w:p>
        </w:tc>
        <w:tc>
          <w:tcPr>
            <w:tcW w:type="dxa" w:w="1704"/>
          </w:tcPr>
          <w:p>
            <w:r>
              <w:t>岗位</w:t>
            </w:r>
          </w:p>
        </w:tc>
        <w:tc>
          <w:tcPr>
            <w:tcW w:type="dxa" w:w="1704"/>
          </w:tcPr>
          <w:p>
            <w:r>
              <w:t>人数</w:t>
            </w:r>
          </w:p>
        </w:tc>
        <w:tc>
          <w:tcPr>
            <w:tcW w:type="dxa" w:w="1704"/>
          </w:tcPr>
          <w:p>
            <w:r>
              <w:t>投入月数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需求调研</w:t>
            </w:r>
          </w:p>
        </w:tc>
        <w:tc>
          <w:tcPr>
            <w:tcW w:type="dxa" w:w="1704"/>
          </w:tcPr>
          <w:p>
            <w:r>
              <w:t>contract的需求调研基础工作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方案设计</w:t>
            </w:r>
          </w:p>
        </w:tc>
        <w:tc>
          <w:tcPr>
            <w:tcW w:type="dxa" w:w="1704"/>
          </w:tcPr>
          <w:p>
            <w:r>
              <w:t>contract的方案设计基础工作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数据整理</w:t>
            </w:r>
          </w:p>
        </w:tc>
        <w:tc>
          <w:tcPr>
            <w:tcW w:type="dxa" w:w="1704"/>
          </w:tcPr>
          <w:p>
            <w:r>
              <w:t>contract的数据整理基础工作</w:t>
            </w:r>
          </w:p>
        </w:tc>
        <w:tc>
          <w:tcPr>
            <w:tcW w:type="dxa" w:w="1704"/>
          </w:tcPr>
          <w:p>
            <w:r>
              <w:t>测试工程师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前端界面</w:t>
            </w:r>
          </w:p>
        </w:tc>
        <w:tc>
          <w:tcPr>
            <w:tcW w:type="dxa" w:w="1704"/>
          </w:tcPr>
          <w:p>
            <w:r>
              <w:t>contract的前端界面基础工作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服务接口</w:t>
            </w:r>
          </w:p>
        </w:tc>
        <w:tc>
          <w:tcPr>
            <w:tcW w:type="dxa" w:w="1704"/>
          </w:tcPr>
          <w:p>
            <w:r>
              <w:t>contract的服务接口基础工作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