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马余刚校长赴港分享全球创新网络实验研究材料</w:t>
      </w:r>
    </w:p>
    <w:p>
      <w:r>
        <w:t>实验输入材料 原附件字节未恢复 不含历史AI答案</w:t>
      </w:r>
    </w:p>
    <w:p>
      <w:pPr>
        <w:pStyle w:val="Heading1"/>
      </w:pPr>
      <w:r>
        <w:t>材料定位</w:t>
      </w:r>
    </w:p>
    <w:p>
      <w:r>
        <w:t>大会与发言主题名称来自原用户及附件名。原报告全文、主海报和演讲稿具体内容未从本件恢复。以下为PPT与生图提示词制作的实验背景材料，不冒称校长实际发言或华师大官方政策。</w:t>
      </w:r>
    </w:p>
    <w:p>
      <w:pPr>
        <w:pStyle w:val="Heading1"/>
      </w:pPr>
      <w:r>
        <w:t>主题结构</w:t>
      </w:r>
    </w:p>
    <w:p>
      <w:r>
        <w:t>从火种到火炬：用实验研究活动、知识共享与跨国协作说明知识如何进入产业和公共应用。</w:t>
      </w:r>
    </w:p>
    <w:p>
      <w:r>
        <w:t>全球创新网络视角包括知识来源、大学合作、产业应用和共享收益四个对象；实例、合作机构和统计数字尚未提供。</w:t>
      </w:r>
    </w:p>
    <w:p>
      <w:pPr>
        <w:pStyle w:val="Heading1"/>
      </w:pPr>
      <w:r>
        <w:t>可视化素材字段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对象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建议保留的初始材料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知识火种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研究问题、实验活动、成果披露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转化路径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验证、合作、应用与反馈记录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网络节点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大学、研究团队、产业伙伴；真实名单未知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共享价值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技术实施与能力建设；不填真实收益数字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演讲时长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原附件主题7分钟；尚未写PPT稿</w:t>
            </w:r>
          </w:p>
        </w:tc>
      </w:tr>
    </w:tbl>
    <w:p>
      <w:pPr>
        <w:pStyle w:val="Heading1"/>
      </w:pPr>
      <w:r>
        <w:t>初始证据边界</w:t>
      </w:r>
    </w:p>
    <w:p>
      <w:r>
        <w:t>原大会议程、准确英文名称、校长身份认证、校徽/建筑图形和原稿引用未恢复。现有标题可用于布局，引用及人物原话不能由本实验稿代造。</w:t>
      </w:r>
    </w:p>
    <w:p>
      <w:r>
        <w:t>本稿没有完成用户要求的生图提示词、PPT页面或主题分享成品。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