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Investment Advisory Agreement (draft 11Feb2026)(1).docx</w:t>
      </w:r>
    </w:p>
    <w:p>
      <w:r>
        <w:rPr>
          <w:sz w:val="16"/>
        </w:rPr>
        <w:t>EXPERIMENTAL SYNTHETIC INITIAL INPUT. Not the original source. Unknown identities/values remain unverified.</w:t>
      </w:r>
    </w:p>
    <w:p>
      <w:pPr>
        <w:keepLines/>
      </w:pPr>
      <w:r>
        <w:rPr>
          <w:b/>
        </w:rPr>
        <w:t xml:space="preserve">Parties and purpose  </w:t>
      </w:r>
      <w:r>
        <w:t>Client: Concord AM FUND, an experimental SPC client; Adviser: Yunfeng/YAML experimental advisory entity. The original legal names, licence evidence and account documents are not restored. This is an English initial draft for translation and review, not a brokerage agreement.</w:t>
      </w:r>
    </w:p>
    <w:p>
      <w:pPr>
        <w:keepLines/>
      </w:pPr>
      <w:r>
        <w:rPr>
          <w:b/>
        </w:rPr>
        <w:t xml:space="preserve">1. Advisory services  </w:t>
      </w:r>
      <w:r>
        <w:t>The Adviser may provide investment recommendations and periodic market information. The services do not themselves transfer the Client assets or authorize the Adviser to place orders. The original discussion says a Type4/9 licensed entity is named, while the commercial plan concerns a Type1 brokerage channel; no actual licence is certified.</w:t>
      </w:r>
    </w:p>
    <w:p>
      <w:pPr>
        <w:keepLines/>
      </w:pPr>
      <w:r>
        <w:rPr>
          <w:b/>
        </w:rPr>
        <w:t xml:space="preserve">2. Accounts and authority  </w:t>
      </w:r>
      <w:r>
        <w:t>The Client owns its securities account with YSL. Advice, board approvals and trading mandates must be separately recorded. Any trading authority requires a separately documented mandate.</w:t>
      </w:r>
    </w:p>
    <w:p>
      <w:pPr>
        <w:keepLines/>
      </w:pPr>
      <w:r>
        <w:rPr>
          <w:b/>
        </w:rPr>
        <w:t xml:space="preserve">3. Fees  </w:t>
      </w:r>
      <w:r>
        <w:t>The Client shall pay a fixed annual advisory fee of USD10,000 and an annual performance fee equal to 10% of positive investment gains after the fixed fee. These rates are experiment settings; exact original fee figures and calculation terms remain unknown.</w:t>
      </w:r>
    </w:p>
    <w:p>
      <w:pPr>
        <w:keepLines/>
      </w:pPr>
      <w:r>
        <w:rPr>
          <w:b/>
        </w:rPr>
        <w:t xml:space="preserve">4. Reports and information  </w:t>
      </w:r>
      <w:r>
        <w:t>The Client provides account valuations and relevant information. The initial draft gives no detailed reporting timetable or specific service deliverables matching the fee; those gaps remain for the review task.</w:t>
      </w:r>
    </w:p>
    <w:p>
      <w:pPr>
        <w:keepLines/>
      </w:pPr>
      <w:r>
        <w:rPr>
          <w:b/>
        </w:rPr>
        <w:t xml:space="preserve">5. Liability and termination  </w:t>
      </w:r>
      <w:r>
        <w:t>The parties may terminate on 30 days written notice. Losses and accrued fees are reconciled, and confidential information remains protected. The draft gives a broad liability exclusion for indirect losses; actual original wording remains unknown.</w:t>
      </w:r>
    </w:p>
    <w:p>
      <w:pPr>
        <w:keepLines/>
      </w:pPr>
      <w:r>
        <w:rPr>
          <w:b/>
        </w:rPr>
        <w:t xml:space="preserve">6. Signature  </w:t>
      </w:r>
      <w:r>
        <w:t>Company names, addresses, licence identifiers and signed dates: __________. The text does not certify real investment compliance or factual equivalence with the original file.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Investment Advisory Agreement (draft 11Feb2026)(1).docx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