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西安瑞联新材料股份有限公司2021年限制性股票激励计划实施考核管理办法20210924.docx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适用计划  </w:t>
      </w:r>
      <w:r>
        <w:t>西安瑞联新材料股份有限公司2021年限制性股票激励计划实验考核办法。实验A20000股，每股10元，三期归属40%/30%/30%；真实指标及授予日期未恢复。</w:t>
      </w:r>
    </w:p>
    <w:p>
      <w:pPr>
        <w:keepLines/>
      </w:pPr>
      <w:r>
        <w:rPr>
          <w:b/>
        </w:rPr>
        <w:t xml:space="preserve">第一条 考核主体  </w:t>
      </w:r>
      <w:r>
        <w:t>人力资源部门汇总个人考核，财务部门提供年度经营指标，董事会按计划审议归属事项，记录参与人及回避情况。</w:t>
      </w:r>
    </w:p>
    <w:p>
      <w:pPr>
        <w:keepLines/>
      </w:pPr>
      <w:r>
        <w:rPr>
          <w:b/>
        </w:rPr>
        <w:t xml:space="preserve">第二条 公司指标  </w:t>
      </w:r>
      <w:r>
        <w:t>实验年度2022/2023/2024收入目标分别2400/2800/3200万元，是否达标依对应年度资料核查，不能使用未来编造业绩。</w:t>
      </w:r>
    </w:p>
    <w:p>
      <w:pPr>
        <w:keepLines/>
      </w:pPr>
      <w:r>
        <w:rPr>
          <w:b/>
        </w:rPr>
        <w:t xml:space="preserve">第三条 个人指标  </w:t>
      </w:r>
      <w:r>
        <w:t>绩效等级A/B/C分别对应100%/80%/0%的当期可归属系数，评分依据和申诉记录需保存。公司指标与个人指标两项条件同时审查。</w:t>
      </w:r>
    </w:p>
    <w:p>
      <w:pPr>
        <w:keepLines/>
      </w:pPr>
      <w:r>
        <w:rPr>
          <w:b/>
        </w:rPr>
        <w:t xml:space="preserve">第四条 变动与申诉  </w:t>
      </w:r>
      <w:r>
        <w:t>离职、岗位变动和考核异议分别记录；修改标准须按计划程序处理，原办法真实通知证据未知。</w:t>
      </w:r>
    </w:p>
    <w:p>
      <w:pPr>
        <w:keepLines/>
      </w:pPr>
      <w:r>
        <w:rPr>
          <w:b/>
        </w:rPr>
        <w:t xml:space="preserve">第五条 限制  </w:t>
      </w:r>
      <w:r>
        <w:t>实验标准可供阅读/比对，不认证现实合规。签章、生效日期留空；未提前输出用户后续法律风险结论。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西安瑞联新材料股份有限公司2021年限制性股票激励计划实施考核管理办法20210924.docx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