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 KM软件技术服务合同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软件许可与范围</w:t>
      </w:r>
    </w:p>
    <w:p>
      <w:r>
        <w:t>甲方采购EvoMind KM平台部署与配置服务，乙方为EvoMind服务提供方。平台功能包括用户登录、会话、个人及公共工作区、项目文件管理、知识库文档检索、模型配置与既有技能调用。真实甲方、价格与许可证数量未知。</w:t>
      </w:r>
    </w:p>
    <w:p>
      <w:pPr>
        <w:pStyle w:val="Heading1"/>
      </w:pPr>
      <w:r>
        <w:t>部署条件</w:t>
      </w:r>
    </w:p>
    <w:p>
      <w:r>
        <w:t>甲方提供部署服务器、网络和合法资料，模型接口及短信等第三方服务由双方另行确认费用。软件交付版本、账号和安装说明应登记。</w:t>
      </w:r>
    </w:p>
    <w:p>
      <w:pPr>
        <w:pStyle w:val="Heading1"/>
      </w:pPr>
      <w:r>
        <w:t>验收与维护</w:t>
      </w:r>
    </w:p>
    <w:p>
      <w:r>
        <w:t>交付部署实例、配置说明和用户手册，并演示合同功能。原稿验收条件比较概括，业务模型准确度、第三方接口失败和非标准定制功能未纳入明确边界，留待补充。</w:t>
      </w:r>
    </w:p>
    <w:p>
      <w:pPr>
        <w:pStyle w:val="Heading1"/>
      </w:pPr>
      <w:r>
        <w:t>知识产权</w:t>
      </w:r>
    </w:p>
    <w:p>
      <w:r>
        <w:t>乙方既有代码、平台组件及底层技术权利不转移，甲方获得约定范围的使用权。甲方业务文件由甲方管理，新增定制成果归属另行约定。</w:t>
      </w:r>
    </w:p>
    <w:p>
      <w:pPr>
        <w:pStyle w:val="Heading1"/>
      </w:pPr>
      <w:r>
        <w:t>费用与变更</w:t>
      </w:r>
    </w:p>
    <w:p>
      <w:r>
        <w:t>价款分部署与许可使用费，真实金额待确认。新增需求、扩展账号和部署范围通过书面变更确认；维护期限与停止服务后的资料导出另议。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