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项目启动与WBS编排输入材料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甲方为实验委托方，乙方为实验服务方。本协议草案围绕项目启动与WBS编排输入材料提供业务材料收集、技术咨询与阶段方案讨论。双方均为虚构测试主体。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项目启动与WBS编排输入材料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20998.04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项目启动与WBS编排输入材料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19</w:t>
            </w:r>
          </w:p>
        </w:tc>
        <w:tc>
          <w:tcPr>
            <w:tcW w:type="dxa" w:w="1704"/>
          </w:tcPr>
          <w:p>
            <w:r>
              <w:t>26066.1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项目启动与WBS编排输入材料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34</w:t>
            </w:r>
          </w:p>
        </w:tc>
        <w:tc>
          <w:tcPr>
            <w:tcW w:type="dxa" w:w="1704"/>
          </w:tcPr>
          <w:p>
            <w:r>
              <w:t>44338.72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项目启动与WBS编排输入材料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10666.26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项目启动与WBS编排输入材料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14873.5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