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合生纪康7月总结8月计划实验资料</w:t>
      </w:r>
    </w:p>
    <w:p>
      <w:r>
        <w:t>实验输入材料 原附件字节未恢复 不含历史AI答案</w:t>
      </w:r>
    </w:p>
    <w:p>
      <w:pPr>
        <w:pStyle w:val="Heading1"/>
      </w:pPr>
      <w:r>
        <w:t>报告范围</w:t>
      </w:r>
    </w:p>
    <w:p>
      <w:r>
        <w:t>原v2工作报告的7月业绩和8月具体任务未恢复。以下记录同源截至当前用户已给的合作方向；不把9月电话内容称作7月已经完成的业绩。</w:t>
      </w:r>
    </w:p>
    <w:p>
      <w:r>
        <w:t>7月工作记录：项目和管线登记、现有证据整理、合作接触记录。实际完成数、收入与试验结果均未提供。8月计划：完善研发、临床合作与融资资料；实际负责人和进度待填。</w:t>
      </w:r>
    </w:p>
    <w:p>
      <w:pPr>
        <w:pStyle w:val="Heading1"/>
      </w:pPr>
      <w:r>
        <w:t>当前合作讨论材料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事项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原用户已给条件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状态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养生堂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同源前轮提供益生菌产学研合作意向框架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真实条款回到本源PDF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中国远大生命科学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考虑首笔领投3000万元，杭州子公司、1至2条工程菌管线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用户电话记录，不是签署投资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首笔款用途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直接推进创新药，达到IND或IND前IIT研究数据里程碑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原用户陈述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团队条件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需CMC总监和懂CGT方向运营总监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岗位待补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潜在投资方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华泰-金斯瑞投资、中科创星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兴趣陈述，无已签条款</w:t>
            </w:r>
          </w:p>
        </w:tc>
      </w:tr>
    </w:tbl>
    <w:p>
      <w:pPr>
        <w:pStyle w:val="Heading1"/>
      </w:pPr>
      <w:r>
        <w:t>需要继续确认</w:t>
      </w:r>
    </w:p>
    <w:p>
      <w:r>
        <w:t>当前报告没有完成投资方选择、谈判策略、分配比例或融资承诺。本源合作材料与原7月报告的日期范围应分开核对。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