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（20260919）股权转让协议-未来壹投资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交易主体  </w:t>
      </w:r>
      <w:r>
        <w:t>出让方：未来壹投资。受让方：合世家（原用户后轮澄清既有文件主体，不是新设受让主体）。目标公司：未来工场。真实注册身份仍需核实。</w:t>
      </w:r>
    </w:p>
    <w:p>
      <w:pPr>
        <w:keepLines/>
      </w:pPr>
      <w:r>
        <w:rPr>
          <w:b/>
        </w:rPr>
        <w:t xml:space="preserve">2.1 标的与定价  </w:t>
      </w:r>
      <w:r>
        <w:t>参考估值人民币1100000000元，本文件转让款6360000元，对应股权0.57818182%。未来壹636万元来自用户对原交易的说明；另一主体364万元由原总额1000万元相减，不预设后轮交割修改。</w:t>
      </w:r>
    </w:p>
    <w:p>
      <w:pPr>
        <w:keepLines/>
      </w:pPr>
      <w:r>
        <w:rPr>
          <w:b/>
        </w:rPr>
        <w:t xml:space="preserve">2.2 付款与交割  </w:t>
      </w:r>
      <w:r>
        <w:t>转让价款分两期：协议签署后10个工作日内支付40%；目标股权登记手续完成后20个工作日内支付60%。此为待修改的原始分期结构。</w:t>
      </w:r>
    </w:p>
    <w:p>
      <w:pPr>
        <w:keepLines/>
      </w:pPr>
      <w:r>
        <w:rPr>
          <w:b/>
        </w:rPr>
        <w:t xml:space="preserve">2.3 交割文件  </w:t>
      </w:r>
      <w:r>
        <w:t>出让方提交权属、无质押声明及必要授权；受让方提供款项来源确认。目标公司配合变更登记，交割清单由双方签署。</w:t>
      </w:r>
    </w:p>
    <w:p>
      <w:pPr>
        <w:keepLines/>
      </w:pPr>
      <w:r>
        <w:rPr>
          <w:b/>
        </w:rPr>
        <w:t xml:space="preserve">2.4 未付尾款  </w:t>
      </w:r>
      <w:r>
        <w:t>第二期60%在登记条件满足后支付。第一期支付不免除受让方尾款义务；办理登记延期的责任需依原因分别确定。</w:t>
      </w:r>
    </w:p>
    <w:p>
      <w:pPr>
        <w:keepLines/>
      </w:pPr>
      <w:r>
        <w:rPr>
          <w:b/>
        </w:rPr>
        <w:t xml:space="preserve">3. 陈述与保证  </w:t>
      </w:r>
      <w:r>
        <w:t>出让方确认持有标的股权、无重复转让和未披露负担；受让方有完成交易能力。对存在争议的事实保留披露清单。</w:t>
      </w:r>
    </w:p>
    <w:p>
      <w:pPr>
        <w:keepLines/>
      </w:pPr>
      <w:r>
        <w:rPr>
          <w:b/>
        </w:rPr>
        <w:t xml:space="preserve">4. 期间事项  </w:t>
      </w:r>
      <w:r>
        <w:t>签署至登记期间，目标股权的分红和新增出资义务按双方另行确认安排；本初始草案没有提前合并TS中的特别治理、业绩承诺条款。</w:t>
      </w:r>
    </w:p>
    <w:p>
      <w:pPr>
        <w:keepLines/>
      </w:pPr>
      <w:r>
        <w:rPr>
          <w:b/>
        </w:rPr>
        <w:t xml:space="preserve">5. 违约与解除  </w:t>
      </w:r>
      <w:r>
        <w:t>一方违约，经书面通知十个工作日未补救的，守约方可主张履行或解除，并按证据支持的损失请求赔偿；原草案暂未单列赔偿上限。</w:t>
      </w:r>
    </w:p>
    <w:p>
      <w:pPr>
        <w:keepLines/>
      </w:pPr>
      <w:r>
        <w:rPr>
          <w:b/>
        </w:rPr>
        <w:t xml:space="preserve">6. 税费与手续  </w:t>
      </w:r>
      <w:r>
        <w:t>各方依法负责自身交易税费，登记费用按协商分担。登记流程所需资料应及时提供。金额和股权为实验设置。</w:t>
      </w:r>
    </w:p>
    <w:p>
      <w:pPr>
        <w:keepLines/>
      </w:pPr>
      <w:r>
        <w:rPr>
          <w:b/>
        </w:rPr>
        <w:t xml:space="preserve">7. 争议与签署  </w:t>
      </w:r>
      <w:r>
        <w:t>争议先协商，不能解决时向目标公司所在地法院起诉。出让方、受让方和目标公司签章栏保留。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（20260919）股权转让协议-未来壹投资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