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2main text实验论文</w:t>
      </w:r>
    </w:p>
    <w:p>
      <w:r>
        <w:t>实验输入材料 原附件字节未恢复 不含历史AI答案</w:t>
      </w:r>
    </w:p>
    <w:p>
      <w:pPr>
        <w:pStyle w:val="Heading1"/>
      </w:pPr>
      <w:r>
        <w:t>论文性质</w:t>
      </w:r>
    </w:p>
    <w:p>
      <w:r>
        <w:t>原用户指明个人工作区/查重3/2main text.docx为论文。原稿内容与全部子目录数据未恢复。本稿提供可审查的实验论文正文，不把裸text.docx继续当作另一份原论文。</w:t>
      </w:r>
    </w:p>
    <w:p>
      <w:pPr>
        <w:pStyle w:val="Heading1"/>
      </w:pPr>
      <w:r>
        <w:t>实验研究问题</w:t>
      </w:r>
    </w:p>
    <w:p>
      <w:r>
        <w:t>实验比较两种测量流程在同一组样品上的记录差异。每个样品保留编号、流程A与流程B读数，单位为实验相对读数。不存在真实受试者、真实期刊或论文结论。</w:t>
      </w:r>
    </w:p>
    <w:p>
      <w:pPr>
        <w:pStyle w:val="Heading1"/>
      </w:pPr>
      <w:r>
        <w:t>原始实验观察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样品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流程A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流程B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S1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10.2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10.4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S2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9.8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9.9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S3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10.6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10.8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S4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10.1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10.3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S5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9.9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10.0</w:t>
            </w:r>
          </w:p>
        </w:tc>
      </w:tr>
    </w:tbl>
    <w:p>
      <w:pPr>
        <w:pStyle w:val="Heading1"/>
      </w:pPr>
      <w:r>
        <w:t>方法和限制</w:t>
      </w:r>
    </w:p>
    <w:p>
      <w:r>
        <w:t>所有数值为实验自造，未开展统计显著性检验。设备、校准、操作者及真实日期未知。数据作为本文表格输入，可实际提取、检查和重算。</w:t>
      </w:r>
    </w:p>
    <w:p>
      <w:r>
        <w:t>原目录中的源工作簿、原图、补充数据与正文之间的真实一致性未知；本件不冒称完整论文源数据已经恢复。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