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基础学习资料：资料整理实验素材</w:t>
      </w:r>
    </w:p>
    <w:p>
      <w:pPr>
        <w:pStyle w:val="Heading2"/>
      </w:pPr>
      <w:r>
        <w:t>资料身份</w:t>
      </w:r>
    </w:p>
    <w:p>
      <w:r>
        <w:t>独立合成的教学资料夹，不对应原学生、学校、年级或清明教案。原个人知识库目录和正文未恢复。只用于当前明确的知识库整理操作。</w:t>
      </w:r>
    </w:p>
    <w:p>
      <w:pPr>
        <w:pStyle w:val="Heading2"/>
      </w:pPr>
      <w:r>
        <w:t>主题</w:t>
      </w:r>
    </w:p>
    <w:p>
      <w:r>
        <w:t>素材主题是图形分类练习。记录仅包含匿名学习者、活动、练习时长、题目数和答对数。所有观察数据是人为设置的输入。</w:t>
      </w:r>
    </w:p>
    <w:p>
      <w:pPr>
        <w:pStyle w:val="Heading2"/>
      </w:pPr>
      <w:r>
        <w:t>共同观察单位</w:t>
      </w:r>
    </w:p>
    <w:p>
      <w:r>
        <w:t>学习活动原始记录.xlsx包含四行：匿名甲、匿名乙、匿名丙、匿名丁各一次图形分类活动。每次共10题，答对数分别为6、8、7、9，时长分别为8、10、9、12分钟。没有真实观察日期。</w:t>
      </w:r>
    </w:p>
    <w:p>
      <w:pPr>
        <w:pStyle w:val="Heading2"/>
      </w:pPr>
      <w:r>
        <w:t>文件关系</w:t>
      </w:r>
    </w:p>
    <w:p>
      <w:r>
        <w:t>工作表保存原始记录和答对率公式；学习素材字段说明.md解释每列类型与单位。本Word仅保存背景和未处理材料，不提供分类结果、学生评分、改写教案或最终报告。</w:t>
      </w:r>
    </w:p>
    <w:p>
      <w:pPr>
        <w:pStyle w:val="Heading2"/>
      </w:pPr>
      <w:r>
        <w:t>可操作范围</w:t>
      </w:r>
    </w:p>
    <w:p>
      <w:r>
        <w:t>本次agent可以列举文件、全文阅读、添加分类标签、制作索引、保存摘要和文件链接。未知的原教学内容不能因这些合成资料升级为已恢复。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