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马余刚校长赴港参会7分钟讲话内容研究报告-全球创新网络视角修订版V2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马余刚校长赴港参会7分钟讲话内容研究报告-全球创新网络视角修订版V2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20.332</w:t>
            </w:r>
          </w:p>
        </w:tc>
        <w:tc>
          <w:tcPr>
            <w:tcW w:type="dxa" w:w="1704"/>
          </w:tcPr>
          <w:p>
            <w:r>
              <w:t>55.572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54.24</w:t>
            </w:r>
          </w:p>
        </w:tc>
        <w:tc>
          <w:tcPr>
            <w:tcW w:type="dxa" w:w="1704"/>
          </w:tcPr>
          <w:p>
            <w:r>
              <w:t>57.485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67.233</w:t>
            </w:r>
          </w:p>
        </w:tc>
        <w:tc>
          <w:tcPr>
            <w:tcW w:type="dxa" w:w="1704"/>
          </w:tcPr>
          <w:p>
            <w:r>
              <w:t>61.079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77.016</w:t>
            </w:r>
          </w:p>
        </w:tc>
        <w:tc>
          <w:tcPr>
            <w:tcW w:type="dxa" w:w="1704"/>
          </w:tcPr>
          <w:p>
            <w:r>
              <w:t>71.973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25.861</w:t>
            </w:r>
          </w:p>
        </w:tc>
        <w:tc>
          <w:tcPr>
            <w:tcW w:type="dxa" w:w="1704"/>
          </w:tcPr>
          <w:p>
            <w:r>
              <w:t>52.514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