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第2组角色立场卡｜政府引导基金国资平台</w:t>
      </w:r>
    </w:p>
    <w:p>
      <w:r>
        <w:t>实验课堂输入：用户明确课程、六角色及本人政府引导基金/国资平台身份；原完整规则、数值及原附件正文未导出，下述主体、数值、条件均为显式课堂参数，不是原企业事实、法律要求或已完成作业。</w:t>
      </w:r>
    </w:p>
    <w:p>
      <w:pPr>
        <w:pStyle w:val="Heading2"/>
      </w:pPr>
      <w:r>
        <w:t>政府组起始身份</w:t>
      </w:r>
    </w:p>
    <w:p>
      <w:r>
        <w:t>第2组政府引导基金/国资平台。原用户明确此角色，真实授权、投资办法和单位组织规则未给出。</w:t>
      </w:r>
    </w:p>
    <w:p>
      <w:pPr>
        <w:pStyle w:val="Heading2"/>
      </w:pPr>
      <w:r>
        <w:t>可讨论条件</w:t>
      </w:r>
    </w:p>
    <w:p>
      <w:r>
        <w:t>实验出资讨论上限200万元；以明确预算、阶段交付和真实资料作为谈判输入；是否出资、具体金额、比例及条件需要本次课堂论证，不在初稿预填批准结果。</w:t>
      </w:r>
    </w:p>
    <w:p>
      <w:pPr>
        <w:pStyle w:val="Heading2"/>
      </w:pPr>
      <w:r>
        <w:t>应向其他组提问</w:t>
      </w:r>
    </w:p>
    <w:p>
      <w:r>
        <w:t>向创始团队核对产品与资金；向TTO核对许可和权属；向VC核对估值、共同投资和退出；向园区核对落地支持及实施成本；向专业服务方核对需要提交的记录和待定事项。</w:t>
      </w:r>
    </w:p>
    <w:p>
      <w:pPr>
        <w:pStyle w:val="Heading2"/>
      </w:pPr>
      <w:r>
        <w:t>信息表（留作课堂填写）</w:t>
      </w:r>
    </w:p>
    <w:p>
      <w:r>
        <w:t>证据来源：待填写。授权范围：待确认。估值依据：待讨论。阶段交付：待协商。资金条件：待论证。关联关系：待核。退出安排：待讨论。</w:t>
      </w:r>
    </w:p>
    <w:p>
      <w:pPr>
        <w:pStyle w:val="Heading2"/>
      </w:pPr>
      <w:r>
        <w:t>参数一致性</w:t>
      </w:r>
    </w:p>
    <w:p>
      <w:r>
        <w:t>实验总需求1000万元，政府组上限200万元，VC拟讨论300万元，大学成果许可方式暂设非排他。数值和权属情境来自同源课堂参数，不是原历史事实或真实政策。</w:t>
      </w:r>
    </w:p>
    <w:p>
      <w:pPr>
        <w:pStyle w:val="Heading2"/>
      </w:pPr>
      <w:r>
        <w:t>作业边界</w:t>
      </w:r>
    </w:p>
    <w:p>
      <w:r>
        <w:t>本卡为初始角色材料；用户要求的注意点、应坚守底线及完整方案由本次运行独立提出，不把原AI回复或完成答案注入输入。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技术转移管理实验课堂输入；非原政策、原文件或完成作业。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