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双歧杆菌临床研究SMO服务协议</w:t>
      </w:r>
    </w:p>
    <w:p>
      <w:r>
        <w:t>实验合成初始输入  根据本会话原用户文件名与可见事实恢复用途，非原附件字节。未导出字段保留未知；用户要求的新修订由本次运行完成，本稿不包含历史AI答案。</w:t>
      </w:r>
    </w:p>
    <w:p>
      <w:pPr>
        <w:pStyle w:val="Heading1"/>
      </w:pPr>
      <w:r>
        <w:t>项目及职责</w:t>
      </w:r>
    </w:p>
    <w:p>
      <w:r>
        <w:t>研究机构为上海市第十人民医院，服务内容为双歧杆菌相关研究的现场协调。SMO安排CRC协助资料整理、访视提醒、试验物资记录和病例报告表填写，不替代研究者作医疗决策。真实申办方、方案号、样本数和经费未导出。</w:t>
      </w:r>
    </w:p>
    <w:p>
      <w:pPr>
        <w:pStyle w:val="Heading1"/>
      </w:pPr>
      <w:r>
        <w:t>方案与伦理</w:t>
      </w:r>
    </w:p>
    <w:p>
      <w:r>
        <w:t>服务以批准的研究方案和伦理要求为准。CRC培训、履历及授权表应纳入研究文件，招募与知情同意由研究者负责，SMO仅作事务支持。</w:t>
      </w:r>
    </w:p>
    <w:p>
      <w:pPr>
        <w:pStyle w:val="Heading1"/>
      </w:pPr>
      <w:r>
        <w:t>数据与质量</w:t>
      </w:r>
    </w:p>
    <w:p>
      <w:r>
        <w:t>建立访视、源文件与疑问处理日志，重要偏差及时通知研究者与申办方。SMO接触资料遵循项目授权，受试者信息不得用于其它业务。</w:t>
      </w:r>
    </w:p>
    <w:p>
      <w:pPr>
        <w:pStyle w:val="Heading1"/>
      </w:pPr>
      <w:r>
        <w:t>费用与进度</w:t>
      </w:r>
    </w:p>
    <w:p>
      <w:r>
        <w:t>费用按启动、完成入组和结题阶段核对工作量支付，金额和原比例未知。停组、延期及额外访视费用另行协商。</w:t>
      </w:r>
    </w:p>
    <w:p>
      <w:pPr>
        <w:pStyle w:val="Heading1"/>
      </w:pPr>
      <w:r>
        <w:t>责任与终止</w:t>
      </w:r>
    </w:p>
    <w:p>
      <w:r>
        <w:t>人员变更、研究暂停及合同终止时交接试验文件和在办事项。草案的违约责任与服务不到位补救机制尚未具体化。</w:t>
      </w:r>
    </w:p>
    <w:sectPr w:rsidR="00FC693F" w:rsidRPr="0006063C" w:rsidSect="00034616">
      <w:pgSz w:w="12240" w:h="15840"/>
      <w:pgMar w:top="1077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Noto Sans CJK SC" w:hAnsi="Noto Sans CJK SC" w:eastAsia="Noto Sans CJK SC"/>
      <w:color w:val="000000"/>
      <w:sz w:val="20"/>
      <w:rFonts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8"/>
      <w:rFont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  <w:rFont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32"/>
      <w:szCs w:val="52"/>
      <w:rFonts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