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中科微感尽职调查实验初稿</w:t>
      </w:r>
    </w:p>
    <w:p>
      <w:r>
        <w:t>实验输入材料 原附件字节未恢复 不含历史AI答案</w:t>
      </w:r>
    </w:p>
    <w:p>
      <w:pPr>
        <w:pStyle w:val="Heading1"/>
      </w:pPr>
      <w:r>
        <w:t>调查范围</w:t>
      </w:r>
    </w:p>
    <w:p>
      <w:r>
        <w:t>公司及报告日期标识来自原附件。真实产品行业、主体、财务、技术与投资条款未恢复。本初稿是公司技术尽调的实验输入，不能代替当前真实报告结论。</w:t>
      </w:r>
    </w:p>
    <w:p>
      <w:pPr>
        <w:pStyle w:val="Heading1"/>
      </w:pPr>
      <w:r>
        <w:t>调查资料登记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事项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需要的原始字段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初始状态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主体与股权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全称、注册、出资、股权表与控制关系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产品与研发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型号、应用、版本、测试和团队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技术与IP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权属、许可、专利及第三方依赖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经营与客户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订单、客户验证、交付、售后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财务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三表、收入确认、应收与现金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投资事项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估值、金额、用途、交割与退出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</w:tbl>
    <w:p>
      <w:pPr>
        <w:pStyle w:val="Heading1"/>
      </w:pPr>
      <w:r>
        <w:t>记录形式</w:t>
      </w:r>
    </w:p>
    <w:p>
      <w:r>
        <w:t>每一项调查记录保留提供者、材料路径、版本、事实/解释区分和待问问题。本件为当前用户提供的0907版本初始材料，不预设后续版本或调查结论。</w:t>
      </w:r>
    </w:p>
    <w:p>
      <w:r>
        <w:t>技术描述、数字与结论必须依据本源实际材料；本初稿没有借用其它公司检测模块或营业收入填充。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