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【TC18】华恒生合万物TS-20260817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投资意向TS。目标公司：生合万物。投资方：华恒。创始股东：实验创始团队。名称来自可见文件信息；其他身份和金额为实验设置。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p>
      <w:pPr>
        <w:keepLines/>
      </w:pPr>
      <w:r>
        <w:rPr>
          <w:b/>
        </w:rPr>
        <w:t xml:space="preserve">13. TS效力  </w:t>
      </w:r>
      <w:r>
        <w:t>估值及交易条款为磋商意向，尽调完成后签正式投资协议；保密、排他磋商30天及费用条款在签署后约束双方。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【TC18】华恒生合万物TS-20260817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