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美鲸灵医美器械商业模式实验初稿</w:t>
      </w:r>
    </w:p>
    <w:p>
      <w:r>
        <w:t>实验输入材料 原附件字节未恢复 不含历史AI答案</w:t>
      </w:r>
    </w:p>
    <w:p>
      <w:pPr>
        <w:pStyle w:val="Heading1"/>
      </w:pPr>
      <w:r>
        <w:t>讨论对象与范围</w:t>
      </w:r>
    </w:p>
    <w:p>
      <w:r>
        <w:t>用户当前考察美鲸灵公司是否值得投资。此前同源已提医美器械、注册证、冰美肌与渠道，但实际注册、价格、销售量、利润和产品效果尚未核验。本件是待投资调研初始文稿。</w:t>
      </w:r>
    </w:p>
    <w:p>
      <w:pPr>
        <w:pStyle w:val="Heading1"/>
      </w:pPr>
      <w:r>
        <w:t>商业模式核对字段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环节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实验初始问题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当前证据状态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研发与技术来源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自研、许可或合作开发分别是什么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原证据未恢复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产品与合规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具体型号、预期用途、注册与生产条件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未核验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生产与质量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代工、成本、追溯和售后责任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未核验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渠道与销售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直销/经销、终端/出厂价及返利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未核验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耗材与服务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是否持续收入及独立定价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未核验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财务与竞争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利润、现金流与可比对象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原数字未恢复</w:t>
            </w:r>
          </w:p>
        </w:tc>
      </w:tr>
    </w:tbl>
    <w:p>
      <w:pPr>
        <w:pStyle w:val="Heading1"/>
      </w:pPr>
      <w:r>
        <w:t>初稿状态</w:t>
      </w:r>
    </w:p>
    <w:p>
      <w:r>
        <w:t>本稿没有确认原公司与中科芯飞的关系、真实注册证、当前价格或真实利润，也没有提前生成给老板汇报的增补稿。</w:t>
      </w:r>
    </w:p>
    <w:p>
      <w:r>
        <w:t>后续录音或会议纪要尚未在当前上传阶段提供，不将其内容提前写入本件。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