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专家库模块意见征集反馈</w:t>
      </w:r>
      <w:r>
        <w:rPr>
          <w:rFonts w:eastAsia="等线" w:ascii="Arial" w:cs="Arial" w:hAnsi="Arial"/>
          <w:b w:val="true"/>
          <w:sz w:val="52"/>
        </w:rPr>
        <w:t>-0713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尊敬的专家：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您好！感谢您对专家库模块提出的宝贵意见。经研究，现就各项问题答复如下：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一、专家库除了保存基本信息，是否需要记录专家的评审历史、擅长方向、</w:t>
      </w:r>
      <w:r>
        <w:rPr>
          <w:rFonts w:eastAsia="等线" w:ascii="Arial" w:cs="Arial" w:hAnsi="Arial"/>
          <w:b w:val="true"/>
          <w:sz w:val="36"/>
          <w:shd w:fill="fff67a"/>
        </w:rPr>
        <w:t>回避单位、利益冲突、可用时间、</w:t>
      </w:r>
      <w:r>
        <w:rPr>
          <w:rFonts w:eastAsia="等线" w:ascii="Arial" w:cs="Arial" w:hAnsi="Arial"/>
          <w:b w:val="true"/>
          <w:sz w:val="36"/>
        </w:rPr>
        <w:t>评审质量、是否经常超时等信息？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回答：该问题为专家信息字段扩展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采纳：评审历史中新增"是否超时"字段（以完成时间是否晚于评审时间段为判定标准）；专家注册及新增时，表单增加"擅长方向"（非必填）；同时规划有专家个人信息页，专家可自行维护本人信息及劳务费信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72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回避单位、利益冲突，不符合评审申报流程，建议由指南创建者自行把握。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可用时间，平台已规划专家接受/拒绝流程，覆盖了该需求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二、"领域"与"标签"分开设计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设计已覆盖。系统中"领域"用于专业匹配，"标签"用于业务筛选，二者独立成两个字段；"擅长方向"归入标签，与领域分开管理。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三、超时提醒与催办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采纳。系统提供"催办完成评审""更换专家"功能，均通过短信通知专家；更换专家逻辑与"禁用有在评任务专家"的处理逻辑保持一致。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90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四、劳务费信息权限控制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原设计已满足。劳务费信息单独管理，批量导出时按权限区分：普通管理员导出不含劳务费字段，超级管理员导出包含完整字段。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五、评审回避规则校验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采纳。指南发布者提交评审设置时，将校验评审任务关联的发布单位是否为专家所在单位，若命中则予以提醒。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六、劳务费字段与鹭江财务系统对齐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纳。劳务费信息字段调整为：证件类型、证件号、开户姓名、银行卡号、开户行所属地区、开户行、国籍/地区、职业职称、工作单位、手机号、性别、出生国家/地区，与财务系统"劳务收入申报"模块的导入模板保持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以上意见我们将纳入开发设计。如有其他建议，欢迎继续沟通。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工作顺利！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2026-07-15T09:09:36Z</dcterms:created>
  <dc:creator>Apache POI</dc:creator>
</cp:coreProperties>
</file>