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A"/>
          <w:sz w:val="52"/>
          <w:szCs w:val="52"/>
        </w:rPr>
        <w:t xml:space="preserve">AI + 疾理数据创业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40"/>
          <w:szCs w:val="40"/>
        </w:rPr>
        <w:t xml:space="preserve">全面调研与战略分析报告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疾理智能创业机会·竞品分析·商业模式设计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张大胆的助手 · 专属定制报告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产品经理智能体 | 2026年6月 | 机密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2B579A"/>
          <w:sz w:val="28"/>
          <w:szCs w:val="28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一、执行摘要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拥有大量疾理数据 + AI能力，是目前医疗AI赛道中最具价值的入场券之一。全球疾理AI市场正以 17-27% CAGR 高速增长，2024年市场规模约 1.07-1.35亿美元，预计2030年突破 5.27亿美元，到2033年可达 11.5亿美元。中国AI疾理市场（含整体配套）2022年为 16.8亿元，预计2027年达 127.2亿元。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核心洞察：“得数据者得天下”。中国疾理医师缺口高达 7.95-17.7万人，疾理AI产品需求极度旺盛。创业成功的关键不在于 AI 算法本身，而在于数据和商业模式的差异化。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二、市场定义与规模估算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市场边界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问题空间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疾理诊断效率低下 + 疾理医师严重短缺 + 诊断质量不一致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客户群体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三级医院疾理科、第三方检验所（ICL）、药企/CRO、基层医疗机构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技术范畴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AI辅助诊断软件、数字疾理平台、云端分析服务、伴随诊断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地理范围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优先中国市场，同步关注东南亚、中东出海机会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TAM / SAM / SOM 估算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全球市场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当前估计（2026）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3年投影（2029）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TAM（全球AI疾理+数字疾理）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~15亿美元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~38亿美元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SAM（AI疾理软件及服务）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~4.5亿美元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~12亿美元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SOM（假设1-3%市场份额）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450万-1350万美元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1200万-3600万美元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中国市场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当前估计（2026）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3年投影（2029）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TAM（含整体配套）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~35亿元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~85亿元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SAM（纯AI软件+服务）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~10亿元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~25亿元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SOM（假设2-5%市场份额）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2000万-5000万元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5000万-1.25亿元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增长驱动因素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疾理人才缺口持续扩大: 中国疾理医师仅约1.8万人，需求端达10.8-21.6万人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癌情负担加重: 癌症新发病例持续增长，组织活检量递增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政策推动数字疾理: 中国“健康中国2030”、日本AI诊断医保报销（每例JPY 8,000）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药企数字化迫切: 16/20全球顶级药企已是Proscia用户，药企CRO需求强劲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AI大模型能力突破: 视觉Transformer、Foundation Model大幅降低训练门槛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三、竞品深度分析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3.1 全球竞争格局全景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主要玩家对比表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900"/>
        <w:gridCol w:w="1600"/>
        <w:gridCol w:w="1200"/>
        <w:gridCol w:w="1960"/>
        <w:gridCol w:w="18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公司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成立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总部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核心产品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融资总额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关键弱点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PathAI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波士顿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AISight Dx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~$2.55亿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最大疾理AI数据集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估值过高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Paige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纽约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Paige Prostate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~$2.41亿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首份AI疾理FDA批准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2025年被Tempus收购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Proscia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费城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Concentriq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~$1.3亿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16/20药企客户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AI模型差异化不足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Ibex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特拉维夫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Prostate Detect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~$1.14亿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FDA 510k获证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单一癌种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Aiforia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芬兰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Aiforia平台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~$0.5亿+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ViT架构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规模较小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 Labs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新墨西哥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HALO AP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不详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与Leica深度整合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偏工具型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迪英加科技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杭州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D-PathAI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C+轮 &gt;15亿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5秒处理1亿像素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三类证未获批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91360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2017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南京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宫颈细胞学AI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已上市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唯一三类证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宫颈癌单赛道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3.2 竞争格局矩阵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按“平台化 vs 专病化”和“临床诊断 vs 药企服务”二维分类：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竞争空白区分析：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左上象限（药企服务平台化）：Proscia占据但仍有空间（中国市场无对标）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右下象限（临床诊断专病化）：91360领先但聚焦宫颈癌，其他癌种机会大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左下象限（药企服务专病化）：跨国公司主导，中国市场几乎空白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右上象限（临床诊断平台化）：PathAI最强，但中国市场无对标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最大机会点：</w:t>
      </w:r>
      <w:r>
        <w:rPr>
          <w:rFonts w:ascii="Arial" w:cs="Arial" w:eastAsia="Arial" w:hAnsi="Arial"/>
          <w:sz w:val="21"/>
          <w:szCs w:val="21"/>
        </w:rPr>
        <w:t xml:space="preserve">中国版Proscia + Ibex 的混合体 — 以药企CRO服务为核心，同时渗透临床疾理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四、商业模式头脑风暴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五大可选商业模式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模式一：AI辅助诊断SaaS（临床路径）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目标客户：</w:t>
      </w:r>
      <w:r>
        <w:rPr>
          <w:rFonts w:ascii="Arial" w:cs="Arial" w:eastAsia="Arial" w:hAnsi="Arial"/>
          <w:sz w:val="21"/>
          <w:szCs w:val="21"/>
        </w:rPr>
        <w:t xml:space="preserve">三级医院疾理科、区域疾理中心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收费方式：</w:t>
      </w:r>
      <w:r>
        <w:rPr>
          <w:rFonts w:ascii="Arial" w:cs="Arial" w:eastAsia="Arial" w:hAnsi="Arial"/>
          <w:sz w:val="21"/>
          <w:szCs w:val="21"/>
        </w:rPr>
        <w:t xml:space="preserve">按年订阅（SaaS）+ 按例收费 + 硬件捆绑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参考对标：</w:t>
      </w:r>
      <w:r>
        <w:rPr>
          <w:rFonts w:ascii="Arial" w:cs="Arial" w:eastAsia="Arial" w:hAnsi="Arial"/>
          <w:sz w:val="21"/>
          <w:szCs w:val="21"/>
        </w:rPr>
        <w:t xml:space="preserve">迪英加科技、91360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风险：</w:t>
      </w:r>
      <w:r>
        <w:rPr>
          <w:rFonts w:ascii="Arial" w:cs="Arial" w:eastAsia="Arial" w:hAnsi="Arial"/>
          <w:sz w:val="21"/>
          <w:szCs w:val="21"/>
        </w:rPr>
        <w:t xml:space="preserve">三类证审批周期长（2-3年）、医院付费意愿低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模式二：药企CRO + AI服务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目标客户：</w:t>
      </w:r>
      <w:r>
        <w:rPr>
          <w:rFonts w:ascii="Arial" w:cs="Arial" w:eastAsia="Arial" w:hAnsi="Arial"/>
          <w:sz w:val="21"/>
          <w:szCs w:val="21"/>
        </w:rPr>
        <w:t xml:space="preserve">制药公司、生物科技公司、CRO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收费方式：</w:t>
      </w:r>
      <w:r>
        <w:rPr>
          <w:rFonts w:ascii="Arial" w:cs="Arial" w:eastAsia="Arial" w:hAnsi="Arial"/>
          <w:sz w:val="21"/>
          <w:szCs w:val="21"/>
        </w:rPr>
        <w:t xml:space="preserve">项目制、年度框架协议、数据许可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参考对标：</w:t>
      </w:r>
      <w:r>
        <w:rPr>
          <w:rFonts w:ascii="Arial" w:cs="Arial" w:eastAsia="Arial" w:hAnsi="Arial"/>
          <w:sz w:val="21"/>
          <w:szCs w:val="21"/>
        </w:rPr>
        <w:t xml:space="preserve">Proscia（16/20顶级药企客户）、PathAI（与Roche合作CDx）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优势：</w:t>
      </w:r>
      <w:r>
        <w:rPr>
          <w:rFonts w:ascii="Arial" w:cs="Arial" w:eastAsia="Arial" w:hAnsi="Arial"/>
          <w:sz w:val="21"/>
          <w:szCs w:val="21"/>
        </w:rPr>
        <w:t xml:space="preserve">付费能力强、黏性高、门槛高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模式三：疾理数据资产化平台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目标客户：</w:t>
      </w:r>
      <w:r>
        <w:rPr>
          <w:rFonts w:ascii="Arial" w:cs="Arial" w:eastAsia="Arial" w:hAnsi="Arial"/>
          <w:sz w:val="21"/>
          <w:szCs w:val="21"/>
        </w:rPr>
        <w:t xml:space="preserve">药企研发、AI算法公司、科研机构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产品形态：</w:t>
      </w:r>
      <w:r>
        <w:rPr>
          <w:rFonts w:ascii="Arial" w:cs="Arial" w:eastAsia="Arial" w:hAnsi="Arial"/>
          <w:sz w:val="21"/>
          <w:szCs w:val="21"/>
        </w:rPr>
        <w:t xml:space="preserve">脱敏标注疾理数据库 + 数据标注工具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参考对标：</w:t>
      </w:r>
      <w:r>
        <w:rPr>
          <w:rFonts w:ascii="Arial" w:cs="Arial" w:eastAsia="Arial" w:hAnsi="Arial"/>
          <w:sz w:val="21"/>
          <w:szCs w:val="21"/>
        </w:rPr>
        <w:t xml:space="preserve">PathAI的15M标注数据集、Tempus收购Paige获7M标注切片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风险：</w:t>
      </w:r>
      <w:r>
        <w:rPr>
          <w:rFonts w:ascii="Arial" w:cs="Arial" w:eastAsia="Arial" w:hAnsi="Arial"/>
          <w:sz w:val="21"/>
          <w:szCs w:val="21"/>
        </w:rPr>
        <w:t xml:space="preserve">数据合规法律风险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模式四：癌症早筛服务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目标客户：</w:t>
      </w:r>
      <w:r>
        <w:rPr>
          <w:rFonts w:ascii="Arial" w:cs="Arial" w:eastAsia="Arial" w:hAnsi="Arial"/>
          <w:sz w:val="21"/>
          <w:szCs w:val="21"/>
        </w:rPr>
        <w:t xml:space="preserve">体检中心、政府两癌筛查项目、保险公司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收费方式：</w:t>
      </w:r>
      <w:r>
        <w:rPr>
          <w:rFonts w:ascii="Arial" w:cs="Arial" w:eastAsia="Arial" w:hAnsi="Arial"/>
          <w:sz w:val="21"/>
          <w:szCs w:val="21"/>
        </w:rPr>
        <w:t xml:space="preserve">按次收费（50-200元/次）、政府招标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市场空间：</w:t>
      </w:r>
      <w:r>
        <w:rPr>
          <w:rFonts w:ascii="Arial" w:cs="Arial" w:eastAsia="Arial" w:hAnsi="Arial"/>
          <w:sz w:val="21"/>
          <w:szCs w:val="21"/>
        </w:rPr>
        <w:t xml:space="preserve">中国宫颈癌筛查市场超200亿元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模式五：AI疾理基础模型提供商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目标客户：</w:t>
      </w:r>
      <w:r>
        <w:rPr>
          <w:rFonts w:ascii="Arial" w:cs="Arial" w:eastAsia="Arial" w:hAnsi="Arial"/>
          <w:sz w:val="21"/>
          <w:szCs w:val="21"/>
        </w:rPr>
        <w:t xml:space="preserve">其他AI疾理公司、IVD企业、科研机构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产品形态：</w:t>
      </w:r>
      <w:r>
        <w:rPr>
          <w:rFonts w:ascii="Arial" w:cs="Arial" w:eastAsia="Arial" w:hAnsi="Arial"/>
          <w:sz w:val="21"/>
          <w:szCs w:val="21"/>
        </w:rPr>
        <w:t xml:space="preserve">疾理Foundation Model API、预训练模型</w:t>
      </w:r>
    </w:p>
    <w:p>
      <w:pPr>
        <w:spacing w:after="10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参考对标：</w:t>
      </w:r>
      <w:r>
        <w:rPr>
          <w:rFonts w:ascii="Arial" w:cs="Arial" w:eastAsia="Arial" w:hAnsi="Arial"/>
          <w:sz w:val="21"/>
          <w:szCs w:val="21"/>
        </w:rPr>
        <w:t xml:space="preserve">NVIDIA MONAI、Aiforia Foundation Engine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推荐商业模式组合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第一阶段（0-2年）：模式B（药企CRO AI服务）+ 模式A（临床SaaS）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验证商业模式，获取收入，积累临床证据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第二阶段（2-4年）：模式C（数据资产化）+ 模式D（早筛服务）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扩大收入来源，建立数据壁垒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第三阶段（4-6年）：模式E（基础模型提供商）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技术领先，授权模式，平台化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五、产品创意头脑风暴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Top 5 优先执行建议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600"/>
        <w:gridCol w:w="1800"/>
        <w:gridCol w:w="2000"/>
        <w:gridCol w:w="18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创意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实现速度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差异化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综合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🥇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药企疾理CRO服务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最高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🥈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多癌种AI辅助诊断平台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AI初筛+医生复核双屏工作流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自监督/弱监督学习框架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高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远程疾理会诊AI增强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★★★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六、SWOT分析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优势（Strengths）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劣势（Weaknesses）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✔ 拥有大量疾理数据——最强的入场券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✘ 需要三类医疗器械注册证（周期2-3年）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✔ AI能力——算法栈可复用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✘ 疾理+AI交叉人才稀缺难招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✔ 数据即壁垒——后来者难以复制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✘ 市场教育成本高，医院对AI信任度不足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✔ 中国市场空间大、竞争格局尚分散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✘ 商业化周期长，需要持久战心态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✔ 多个变现路径可选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✘ 数据隐私合规风险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机会（Opportunities）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威胁（Threats）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 中国疾理医师缺口巨大（7.95-17.7万人）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⚡ 国际巨头进入中国（Roche、Philips）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 药企CRO服务中国几乎空白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⚡ 腾讯、华为、百度等大厂入局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 中国两癌筛查政策驱动（300亿+市场）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⚡ 三类证可能被竞品先拿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 Foundation Model技术降低AI开发门槛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⚡ 数据合规风险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⭐ 东南亚、中东等新兴市场机会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⚡ AI产品同质化竞争加剧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七、关键假设与验证计划</w:t>
      </w:r>
    </w:p>
    <w:p>
      <w:pPr>
        <w:spacing w:after="120" w:line="320"/>
      </w:pPr>
      <w:r>
        <w:rPr>
          <w:rFonts w:ascii="Arial" w:cs="Arial" w:eastAsia="Arial" w:hAnsi="Arial"/>
          <w:sz w:val="21"/>
          <w:szCs w:val="21"/>
        </w:rPr>
        <w:t xml:space="preserve">风险最高的假设（需优先验证）：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45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假设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验证方法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药企愿意为AI疾理CRO服务付费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3-5家药企深度访谈 + 报价测试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疾理数据可以合规变现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低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聘请数据合规律师做专项审计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AI准确率能达到临床可接受水平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与三甲医院合作的临床验证研究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医院愿意为AI诊断软件付费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中-低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免费试用 + 效果追踪 + 决策者访谈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能吸引到疾理+AI交叉人才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中-低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与高校合作培养 + 海外引进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八、创业路线图（3年计划）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Year 1：验证期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数据入库+清洗+标注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与2-3家三甲医院达成合作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首个AI模块原型完成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药企POC项目签约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团队搭建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数据合规审计完成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申请NMPA预审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早期收入50-100万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融资种子轮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AI模块开发启动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药企CRO商务开启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A轮融资目标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Year 2：商业化期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SaaS + CRO 年收入500-1000万元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覆盖5个癌种AI模块，获批NMPA三类证（至少1个）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团队规模：30-50人（含疾理顾问团队）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客户目标：10+家医院客户，5+家药企客户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Year 3：规模化期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收入目标：3000-5000万元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产品目标：平台化，10+癌种，支持多模态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客户目标：100+医院，15+药企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模式升级：启动早筛服务+数据资产化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出海探索：东南亚市场试点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九、最终建议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一句话行动策略</w:t>
      </w:r>
    </w:p>
    <w:p>
      <w:pPr>
        <w:spacing w:after="200" w:before="200"/>
        <w:ind w:left="400"/>
      </w:pPr>
      <w:r>
        <w:rPr>
          <w:rFonts w:ascii="Arial" w:cs="Arial" w:eastAsia="Arial" w:hAnsi="Arial"/>
          <w:b/>
          <w:bCs/>
          <w:i/>
          <w:iCs/>
          <w:color w:val="2B579A"/>
          <w:sz w:val="24"/>
          <w:szCs w:val="24"/>
        </w:rPr>
        <w:t xml:space="preserve">“先做药企CRO变现，同步跑通医院临床诊断，用数据筑墙、用合规护航。”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核心行动项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立即盘点现有数据：数量、质量、数据类型、标注状态、来源合规性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聘请数据合规律师：路径先行，不可逆的合规从第一天开始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启动药企CRO业务：这个方向变现最快，竞争最少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与3-5家三甲医院疾理科建立合作：临床验证 + 数据补充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制定三类证申请路径：选择高发癌种作为首个注册目标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搭建“疾理+AI”核心团队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融资准备：做一份数据资产清单 + 商业化路线图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B579A"/>
          <w:sz w:val="32"/>
          <w:szCs w:val="32"/>
        </w:rPr>
        <w:t xml:space="preserve">附录：关键数据来源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MarketsandMarkets, "AI in Pathology Market Report 2025-2030"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Grand View Research, "Digital Pathology Market Size 2024-2033"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Fortune Business Insights, "AI in Pathology Market 2026-2034"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Technavio, "AI in Pathology Market Growth Analysis 2025-2029"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GMInsights, "AI-Powered Pathology Analysis System Market 2034"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头豹研究院/共研网, "中国AI疾理行业市场白皮书 2025"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长城证券, "兰卫医学深度报告"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IntuitionLabs, "Top Imaging &amp; Pathology AI Companies: 2025 Market Analysis"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1"/>
          <w:szCs w:val="21"/>
        </w:rPr>
        <w:t xml:space="preserve">Proscia/PathAI/Ibex/迪英加 官方公开信息及融资公告</w:t>
      </w:r>
    </w:p>
    <w:p>
      <w:pPr>
        <w:spacing w:after="6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本报告由产品经理智能体生成，数据来源于公开市场研究报告和行业分析。数据截止日期：2026年6月。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4" w:space="4"/>
      </w:pBdr>
      <w:spacing w:after="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+ 病理数据创业报告  |  张大胆的助手</w:t>
    </w:r>
  </w:p>
  <!-- Watermark: 张大胆 -->
  <w:p>
    <w:pPr>
      <w:jc w:val="center"/>
      <w:spacing w:line="480" w:lineRule="auto" w:before="2000"/>
      <w:shd w:val="clear" w:color="auto" w:fill="auto"/>
    </w:pPr>
    <w:r>
      <w:rPr>
        <w:rFonts w:ascii="Arial" w:cs="Arial" w:eastAsia="Arial" w:hAnsi="Arial"/>
        <w:color w:val="D0D0D0"/>
        <w:sz w:val="72"/>
        <w:szCs w:val="72"/>
      </w:rPr>
      <w:t xml:space="preserve">张大胆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2026-06-19T08:49:28.261Z</dcterms:created>
  <dcterms:modified xsi:type="dcterms:W3CDTF">2026-06-19T08:49:28.261Z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