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1C958D">
      <w:pPr>
        <w:spacing w:after="40"/>
        <w:jc w:val="center"/>
      </w:pPr>
      <w:r>
        <w:rPr>
          <w:rFonts w:ascii="黑体" w:hAnsi="黑体" w:eastAsia="黑体" w:cs="黑体"/>
          <w:b/>
          <w:bCs/>
          <w:sz w:val="36"/>
          <w:szCs w:val="36"/>
        </w:rPr>
        <w:t>「人工智能+」典型案例详细介绍</w:t>
      </w:r>
    </w:p>
    <w:p w14:paraId="2B387237">
      <w:pPr>
        <w:spacing w:before="200" w:after="60"/>
        <w:rPr>
          <w:rFonts w:hint="eastAsia" w:eastAsia="仿宋"/>
          <w:lang w:eastAsia="zh-CN"/>
        </w:rPr>
      </w:pPr>
      <w:r>
        <w:rPr>
          <w:b/>
          <w:bCs/>
        </w:rPr>
        <w:t>案例名称：</w:t>
      </w:r>
      <w:r>
        <w:t>云知师AI：从教师赋能到师生共育——AI时代数字素养教育的持续</w:t>
      </w:r>
      <w:r>
        <w:rPr>
          <w:rFonts w:hint="eastAsia"/>
          <w:lang w:val="en-US" w:eastAsia="zh-CN"/>
        </w:rPr>
        <w:t>推进</w:t>
      </w:r>
    </w:p>
    <w:p w14:paraId="23600582">
      <w:pPr>
        <w:spacing w:before="60"/>
      </w:pPr>
      <w:r>
        <w:rPr>
          <w:b/>
          <w:bCs/>
        </w:rPr>
        <w:t>申报方向：</w:t>
      </w:r>
      <w:r>
        <w:t>人工智能+民生福祉（智能教育教学应用）</w:t>
      </w:r>
    </w:p>
    <w:p w14:paraId="310D0E0C">
      <w:pPr>
        <w:spacing w:before="60" w:after="400"/>
        <w:rPr>
          <w:rFonts w:hint="default" w:eastAsia="仿宋"/>
          <w:lang w:val="en-US" w:eastAsia="zh-CN"/>
        </w:rPr>
      </w:pPr>
      <w:r>
        <w:rPr>
          <w:b/>
          <w:bCs/>
        </w:rPr>
        <w:t>申报单位：</w:t>
      </w:r>
      <w:r>
        <w:t>华东师范大学</w:t>
      </w:r>
    </w:p>
    <w:p w14:paraId="23EEFC72">
      <w:pPr>
        <w:pStyle w:val="2"/>
      </w:pPr>
      <w:r>
        <w:t>一、基本概况</w:t>
      </w:r>
    </w:p>
    <w:p w14:paraId="17665468">
      <w:pPr>
        <w:ind w:firstLine="500" w:firstLineChars="0"/>
      </w:pPr>
      <w:r>
        <w:t>人工智能重塑全球教育格局，全民数字素养已成为国家战略需求。当前，教师AI教学能力不足、备课负担重；学生AI核心素养培养缺乏系统性平台；高校科研成果向教育应用转化效率低——三大痛点相互交织。</w:t>
      </w:r>
    </w:p>
    <w:p w14:paraId="38C8959A">
      <w:pPr>
        <w:spacing w:before="120"/>
        <w:ind w:firstLine="500" w:firstLineChars="0"/>
      </w:pPr>
      <w:r>
        <w:t>华东师范大学依托数据科学与工程学院、国家级全民数字素养与技能培训基地，自主研发云知师AI教育智能体平台。平台经历了从1.0教师赋能到2.0师生共育的持续进化：1.0聚焦教师数字素养评测与提升；2.0扩展至学生素养培养和高校科研赋</w:t>
      </w:r>
      <w:r>
        <w:rPr>
          <w:rFonts w:hint="eastAsia"/>
          <w:lang w:val="en-US" w:eastAsia="zh-CN"/>
        </w:rPr>
        <w:t>成果转化</w:t>
      </w:r>
      <w:r>
        <w:t>，实现教师提能—学生培养—科研反哺三位一体。平台已入驻</w:t>
      </w:r>
      <w:r>
        <w:rPr>
          <w:b/>
          <w:bCs/>
        </w:rPr>
        <w:t>国家智慧教育公共服务平台AI实验场</w:t>
      </w:r>
      <w:r>
        <w:t>，目前平台已覆盖全国33个省份、340个城市、3,162所学校，服务教师超6万人、辐射学生超180万人，学生端独立用户</w:t>
      </w:r>
      <w:r>
        <w:rPr>
          <w:rFonts w:hint="eastAsia"/>
          <w:lang w:val="en-US" w:eastAsia="zh-CN"/>
        </w:rPr>
        <w:t>超4</w:t>
      </w:r>
      <w:r>
        <w:t>万人。</w:t>
      </w:r>
      <w:r>
        <w:rPr>
          <w:rFonts w:hint="eastAsia"/>
        </w:rPr>
        <w:t>受到央视网《AI先行者》、上海浦江论坛、上海东方财经、《中国企业报》等报道，观看量过百万，并与华为、联想、英特尔等达成生态合作。</w:t>
      </w:r>
    </w:p>
    <w:p w14:paraId="650730E8">
      <w:pPr>
        <w:pStyle w:val="2"/>
      </w:pPr>
      <w:r>
        <w:t>二、主要做法</w:t>
      </w:r>
    </w:p>
    <w:p w14:paraId="067E4CD4">
      <w:pPr>
        <w:pStyle w:val="3"/>
      </w:pPr>
      <w:r>
        <w:t>（一）1.0阶段：教师数字素养评测与提升体系</w:t>
      </w:r>
    </w:p>
    <w:p w14:paraId="0D7A7BA2">
      <w:pPr>
        <w:keepNext w:val="0"/>
        <w:keepLines w:val="0"/>
        <w:widowControl w:val="0"/>
        <w:suppressLineNumbers w:val="0"/>
        <w:spacing w:before="0" w:beforeAutospacing="0" w:after="0" w:afterAutospacing="0"/>
        <w:ind w:left="0" w:right="0"/>
        <w:jc w:val="both"/>
        <w:rPr>
          <w:rFonts w:hint="default" w:ascii="仿宋" w:hAnsi="仿宋" w:eastAsia="仿宋" w:cs="仿宋"/>
          <w:kern w:val="0"/>
          <w:sz w:val="24"/>
          <w:szCs w:val="24"/>
          <w:lang w:val="en-US" w:eastAsia="zh-CN" w:bidi="ar"/>
          <w:woUserID w:val="2"/>
        </w:rPr>
      </w:pPr>
      <w:r>
        <w:rPr>
          <w:rFonts w:hint="default" w:ascii="仿宋" w:hAnsi="仿宋" w:eastAsia="仿宋" w:cs="仿宋"/>
          <w:kern w:val="0"/>
          <w:sz w:val="24"/>
          <w:szCs w:val="24"/>
          <w:lang w:val="en-US" w:eastAsia="zh-CN" w:bidi="ar"/>
          <w:woUserID w:val="2"/>
        </w:rPr>
        <w:t>针对教师备课耗时长、教学手段单一、课后辅导难覆盖的困境，以及数字化投入缺乏科学评价和制度化认可的问题，项目组基于全国18个省份500余名教师的深度调研，研制了教师AI与数字素养评测框架（1.0版），将教师划分为职前师范生、新手、成长、种子、先锋五个层级，按学段和学科设置差异化评价指标。在技术层面，平台深度融合提示词工程、思维链、RAG及模型微调等技术，构建覆盖备课—教学—辅导—发展—管理五大场景的AI教育智能体，提供40+智能教学工具，实现备课效率提升85%、资源开发周期缩短80%、骨干教师创新提升75%、教师周均节省13小时。</w:t>
      </w:r>
    </w:p>
    <w:p w14:paraId="7608608A">
      <w:pPr>
        <w:keepNext w:val="0"/>
        <w:keepLines w:val="0"/>
        <w:widowControl w:val="0"/>
        <w:suppressLineNumbers w:val="0"/>
        <w:spacing w:before="0" w:beforeAutospacing="0" w:after="0" w:afterAutospacing="0"/>
        <w:ind w:left="0" w:right="0"/>
        <w:jc w:val="both"/>
        <w:rPr>
          <w:rFonts w:hint="default" w:ascii="仿宋" w:hAnsi="仿宋" w:eastAsia="仿宋" w:cs="仿宋"/>
          <w:kern w:val="0"/>
          <w:sz w:val="24"/>
          <w:szCs w:val="24"/>
          <w:lang w:val="en-US" w:eastAsia="zh-CN" w:bidi="ar"/>
          <w:woUserID w:val="2"/>
        </w:rPr>
      </w:pPr>
    </w:p>
    <w:p w14:paraId="3C27FA73">
      <w:pPr>
        <w:keepNext w:val="0"/>
        <w:keepLines w:val="0"/>
        <w:widowControl w:val="0"/>
        <w:suppressLineNumbers w:val="0"/>
        <w:spacing w:before="0" w:beforeAutospacing="0" w:after="0" w:afterAutospacing="0"/>
        <w:ind w:left="0" w:right="0"/>
        <w:jc w:val="both"/>
        <w:rPr>
          <w:rFonts w:hint="eastAsia" w:ascii="仿宋" w:hAnsi="仿宋" w:eastAsia="仿宋" w:cs="仿宋"/>
          <w:kern w:val="0"/>
          <w:sz w:val="24"/>
          <w:szCs w:val="24"/>
          <w:lang w:val="en-US" w:eastAsia="zh" w:bidi="ar"/>
          <w:woUserID w:val="2"/>
        </w:rPr>
      </w:pPr>
      <w:r>
        <w:rPr>
          <w:rFonts w:hint="eastAsia" w:ascii="仿宋" w:hAnsi="仿宋" w:eastAsia="仿宋" w:cs="仿宋"/>
          <w:kern w:val="0"/>
          <w:sz w:val="24"/>
          <w:szCs w:val="24"/>
          <w:lang w:val="en-US" w:eastAsia="zh" w:bidi="ar"/>
          <w:woUserID w:val="2"/>
        </w:rPr>
        <w:drawing>
          <wp:inline distT="0" distB="0" distL="114300" distR="114300">
            <wp:extent cx="5248275" cy="279273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5"/>
                    <a:stretch>
                      <a:fillRect/>
                    </a:stretch>
                  </pic:blipFill>
                  <pic:spPr>
                    <a:xfrm>
                      <a:off x="0" y="0"/>
                      <a:ext cx="5248275" cy="2792730"/>
                    </a:xfrm>
                    <a:prstGeom prst="rect">
                      <a:avLst/>
                    </a:prstGeom>
                  </pic:spPr>
                </pic:pic>
              </a:graphicData>
            </a:graphic>
          </wp:inline>
        </w:drawing>
      </w:r>
    </w:p>
    <w:p w14:paraId="540657B0">
      <w:pPr>
        <w:keepNext w:val="0"/>
        <w:keepLines w:val="0"/>
        <w:widowControl w:val="0"/>
        <w:suppressLineNumbers w:val="0"/>
        <w:spacing w:before="0" w:beforeAutospacing="0" w:after="0" w:afterAutospacing="0"/>
        <w:ind w:left="0" w:right="0"/>
        <w:jc w:val="both"/>
        <w:rPr>
          <w:rFonts w:hint="default" w:ascii="仿宋" w:hAnsi="仿宋" w:eastAsia="仿宋" w:cs="仿宋"/>
          <w:kern w:val="0"/>
          <w:sz w:val="24"/>
          <w:szCs w:val="24"/>
          <w:lang w:val="en-US" w:eastAsia="zh-CN" w:bidi="ar"/>
          <w:woUserID w:val="2"/>
        </w:rPr>
      </w:pPr>
    </w:p>
    <w:p w14:paraId="6920CEE8">
      <w:pPr>
        <w:keepNext w:val="0"/>
        <w:keepLines w:val="0"/>
        <w:widowControl w:val="0"/>
        <w:suppressLineNumbers w:val="0"/>
        <w:spacing w:before="0" w:beforeAutospacing="0" w:after="0" w:afterAutospacing="0"/>
        <w:ind w:left="0" w:right="0"/>
        <w:jc w:val="center"/>
        <w:rPr>
          <w:rFonts w:hint="default" w:ascii="仿宋" w:hAnsi="仿宋" w:eastAsia="仿宋" w:cs="仿宋"/>
          <w:sz w:val="24"/>
          <w:szCs w:val="24"/>
          <w:woUserID w:val="2"/>
        </w:rPr>
      </w:pPr>
      <w:r>
        <w:rPr>
          <w:rFonts w:hint="default" w:ascii="仿宋" w:hAnsi="仿宋" w:eastAsia="仿宋" w:cs="仿宋"/>
          <w:kern w:val="0"/>
          <w:sz w:val="24"/>
          <w:szCs w:val="24"/>
          <w:lang w:val="en-US" w:eastAsia="zh-CN" w:bidi="ar"/>
          <w:woUserID w:val="2"/>
        </w:rPr>
        <w:drawing>
          <wp:inline distT="0" distB="0" distL="114300" distR="114300">
            <wp:extent cx="5166360" cy="2695575"/>
            <wp:effectExtent l="0" t="0" r="1524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stretch>
                      <a:fillRect/>
                    </a:stretch>
                  </pic:blipFill>
                  <pic:spPr>
                    <a:xfrm>
                      <a:off x="0" y="0"/>
                      <a:ext cx="5166360" cy="2695575"/>
                    </a:xfrm>
                    <a:prstGeom prst="rect">
                      <a:avLst/>
                    </a:prstGeom>
                  </pic:spPr>
                </pic:pic>
              </a:graphicData>
            </a:graphic>
          </wp:inline>
        </w:drawing>
      </w:r>
      <w:r>
        <w:rPr>
          <w:rFonts w:hint="default" w:ascii="仿宋" w:hAnsi="仿宋" w:eastAsia="仿宋" w:cs="仿宋"/>
          <w:kern w:val="0"/>
          <w:sz w:val="24"/>
          <w:szCs w:val="24"/>
          <w:lang w:val="en-US" w:eastAsia="zh-CN" w:bidi="ar"/>
          <w:woUserID w:val="2"/>
        </w:rPr>
        <w:t xml:space="preserve"> </w:t>
      </w:r>
    </w:p>
    <w:p w14:paraId="413832B0">
      <w:pPr>
        <w:keepNext w:val="0"/>
        <w:keepLines w:val="0"/>
        <w:widowControl w:val="0"/>
        <w:suppressLineNumbers w:val="0"/>
        <w:spacing w:before="80" w:beforeAutospacing="0" w:after="0" w:afterAutospacing="0"/>
        <w:ind w:left="0" w:right="0"/>
        <w:jc w:val="both"/>
        <w:rPr>
          <w:rFonts w:hint="default" w:ascii="仿宋" w:hAnsi="仿宋" w:eastAsia="仿宋" w:cs="仿宋"/>
          <w:sz w:val="24"/>
          <w:szCs w:val="24"/>
          <w:woUserID w:val="2"/>
        </w:rPr>
      </w:pPr>
      <w:r>
        <w:rPr>
          <w:rFonts w:hint="default" w:ascii="仿宋" w:hAnsi="仿宋" w:eastAsia="仿宋" w:cs="仿宋"/>
          <w:kern w:val="0"/>
          <w:sz w:val="24"/>
          <w:szCs w:val="24"/>
          <w:lang w:val="en-US" w:eastAsia="zh-CN" w:bidi="ar"/>
          <w:woUserID w:val="2"/>
        </w:rPr>
        <w:t xml:space="preserve"> </w:t>
      </w:r>
    </w:p>
    <w:p w14:paraId="51C24756">
      <w:pPr>
        <w:keepNext w:val="0"/>
        <w:keepLines w:val="0"/>
        <w:widowControl w:val="0"/>
        <w:suppressLineNumbers w:val="0"/>
        <w:spacing w:before="80" w:beforeAutospacing="0" w:after="0" w:afterAutospacing="0"/>
        <w:ind w:left="0" w:right="0"/>
        <w:jc w:val="both"/>
        <w:rPr>
          <w:rFonts w:hint="default" w:ascii="仿宋" w:hAnsi="仿宋" w:eastAsia="仿宋" w:cs="仿宋"/>
          <w:sz w:val="24"/>
          <w:szCs w:val="24"/>
          <w:woUserID w:val="2"/>
        </w:rPr>
      </w:pPr>
      <w:r>
        <w:rPr>
          <w:rFonts w:hint="default" w:ascii="仿宋" w:hAnsi="仿宋" w:eastAsia="仿宋" w:cs="仿宋"/>
          <w:kern w:val="0"/>
          <w:sz w:val="24"/>
          <w:szCs w:val="24"/>
          <w:lang w:val="en-US" w:eastAsia="zh-CN" w:bidi="ar"/>
          <w:woUserID w:val="2"/>
        </w:rPr>
        <w:t xml:space="preserve"> </w:t>
      </w:r>
    </w:p>
    <w:p w14:paraId="0DB3D943">
      <w:pPr>
        <w:keepNext w:val="0"/>
        <w:keepLines w:val="0"/>
        <w:widowControl w:val="0"/>
        <w:suppressLineNumbers w:val="0"/>
        <w:spacing w:before="80" w:beforeAutospacing="0" w:after="0" w:afterAutospacing="0"/>
        <w:ind w:left="0" w:right="0"/>
        <w:jc w:val="both"/>
        <w:rPr>
          <w:rFonts w:hint="default" w:ascii="仿宋" w:hAnsi="仿宋" w:eastAsia="仿宋" w:cs="仿宋"/>
          <w:sz w:val="24"/>
          <w:szCs w:val="24"/>
          <w:woUserID w:val="2"/>
        </w:rPr>
      </w:pPr>
      <w:r>
        <w:rPr>
          <w:rFonts w:hint="default" w:ascii="仿宋" w:hAnsi="仿宋" w:eastAsia="仿宋" w:cs="仿宋"/>
          <w:kern w:val="0"/>
          <w:sz w:val="24"/>
          <w:szCs w:val="24"/>
          <w:lang w:val="en-US" w:eastAsia="zh-CN" w:bidi="ar"/>
          <w:woUserID w:val="2"/>
        </w:rPr>
        <w:t>基于国家智慧教育平台的部署推广，推动平台覆盖全国33个省级行政区、340个市、3,162所学校，构建起平台赋能+评测诊断+培训提升+激励引导四位一体的教师数字素养发展体系。</w:t>
      </w:r>
    </w:p>
    <w:p w14:paraId="23EBDA13">
      <w:pPr>
        <w:keepNext w:val="0"/>
        <w:keepLines w:val="0"/>
        <w:widowControl w:val="0"/>
        <w:suppressLineNumbers w:val="0"/>
        <w:spacing w:before="80" w:beforeAutospacing="0" w:after="0" w:afterAutospacing="0"/>
        <w:ind w:left="0" w:right="0"/>
        <w:jc w:val="both"/>
        <w:rPr>
          <w:rFonts w:hint="eastAsia" w:ascii="仿宋" w:hAnsi="仿宋" w:eastAsia="仿宋" w:cs="仿宋"/>
          <w:sz w:val="24"/>
          <w:szCs w:val="24"/>
          <w:lang w:eastAsia="zh"/>
          <w:woUserID w:val="2"/>
        </w:rPr>
      </w:pPr>
      <w:r>
        <w:rPr>
          <w:rFonts w:hint="default" w:ascii="仿宋" w:hAnsi="仿宋" w:eastAsia="仿宋" w:cs="仿宋"/>
          <w:kern w:val="0"/>
          <w:sz w:val="24"/>
          <w:szCs w:val="24"/>
          <w:lang w:val="en-US" w:eastAsia="zh-CN" w:bidi="ar"/>
          <w:woUserID w:val="2"/>
        </w:rPr>
        <w:t xml:space="preserve"> </w:t>
      </w:r>
      <w:r>
        <w:rPr>
          <w:rFonts w:hint="eastAsia" w:ascii="仿宋" w:hAnsi="仿宋" w:eastAsia="仿宋" w:cs="仿宋"/>
          <w:sz w:val="24"/>
          <w:szCs w:val="24"/>
          <w:lang w:eastAsia="zh"/>
          <w:woUserID w:val="2"/>
        </w:rPr>
        <w:drawing>
          <wp:inline distT="0" distB="0" distL="114300" distR="114300">
            <wp:extent cx="5033010" cy="2707640"/>
            <wp:effectExtent l="0" t="0" r="15240" b="165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5033010" cy="2707640"/>
                    </a:xfrm>
                    <a:prstGeom prst="rect">
                      <a:avLst/>
                    </a:prstGeom>
                  </pic:spPr>
                </pic:pic>
              </a:graphicData>
            </a:graphic>
          </wp:inline>
        </w:drawing>
      </w:r>
    </w:p>
    <w:p w14:paraId="01F3F053">
      <w:pPr>
        <w:keepNext w:val="0"/>
        <w:keepLines w:val="0"/>
        <w:widowControl w:val="0"/>
        <w:suppressLineNumbers w:val="0"/>
        <w:spacing w:before="0" w:beforeAutospacing="0" w:after="0" w:afterAutospacing="0"/>
        <w:ind w:left="0" w:right="0"/>
        <w:jc w:val="both"/>
        <w:rPr>
          <w:rFonts w:hint="default" w:ascii="仿宋" w:hAnsi="仿宋" w:eastAsia="仿宋" w:cs="仿宋"/>
          <w:sz w:val="24"/>
          <w:szCs w:val="24"/>
          <w:woUserID w:val="2"/>
        </w:rPr>
      </w:pPr>
      <w:r>
        <w:rPr>
          <w:rFonts w:hint="default" w:ascii="仿宋" w:hAnsi="仿宋" w:eastAsia="仿宋" w:cs="仿宋"/>
          <w:kern w:val="0"/>
          <w:sz w:val="24"/>
          <w:szCs w:val="24"/>
          <w:lang w:val="en-US" w:eastAsia="zh-CN" w:bidi="ar"/>
          <w:woUserID w:val="2"/>
        </w:rPr>
        <w:t>华东师范大学依托国家级全民数字素养与技能培训基地、教师教育国家级实验教学示范中心等机构，开展分层分类培训150余次，形成先锋教师—种子教师—普通教师梯队带动模式，服务教师2万余人次、师范生1000余人次，并通过公益池机制实现优质资源跨区域流动。</w:t>
      </w:r>
    </w:p>
    <w:p w14:paraId="0776E118">
      <w:pPr>
        <w:pStyle w:val="3"/>
        <w:keepNext w:val="0"/>
        <w:keepLines w:val="0"/>
        <w:widowControl/>
        <w:suppressLineNumbers w:val="0"/>
        <w:rPr>
          <w:rFonts w:hint="default" w:ascii="黑体" w:hAnsi="宋体" w:eastAsia="黑体" w:cs="黑体"/>
          <w:b/>
          <w:bCs/>
          <w:sz w:val="28"/>
          <w:szCs w:val="28"/>
          <w:woUserID w:val="2"/>
        </w:rPr>
      </w:pPr>
      <w:r>
        <w:rPr>
          <w:rFonts w:hint="default" w:ascii="黑体" w:hAnsi="宋体" w:eastAsia="黑体" w:cs="黑体"/>
          <w:b/>
          <w:bCs/>
          <w:sz w:val="28"/>
          <w:szCs w:val="28"/>
          <w:woUserID w:val="2"/>
        </w:rPr>
        <w:drawing>
          <wp:inline distT="0" distB="0" distL="114300" distR="114300">
            <wp:extent cx="5468620" cy="2726055"/>
            <wp:effectExtent l="0" t="0" r="8255"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5468620" cy="2726055"/>
                    </a:xfrm>
                    <a:prstGeom prst="rect">
                      <a:avLst/>
                    </a:prstGeom>
                  </pic:spPr>
                </pic:pic>
              </a:graphicData>
            </a:graphic>
          </wp:inline>
        </w:drawing>
      </w:r>
      <w:r>
        <w:rPr>
          <w:rFonts w:hint="default" w:ascii="黑体" w:hAnsi="宋体" w:eastAsia="黑体" w:cs="黑体"/>
          <w:b/>
          <w:bCs/>
          <w:sz w:val="28"/>
          <w:szCs w:val="28"/>
          <w:woUserID w:val="2"/>
        </w:rPr>
        <w:t xml:space="preserve"> </w:t>
      </w:r>
    </w:p>
    <w:p w14:paraId="090ECD32"/>
    <w:p w14:paraId="741FB50C">
      <w:pPr>
        <w:pStyle w:val="3"/>
      </w:pPr>
      <w:r>
        <w:t>（二）2.0阶段：向学生端和高校</w:t>
      </w:r>
      <w:r>
        <w:rPr>
          <w:rFonts w:hint="eastAsia"/>
          <w:lang w:val="en-US" w:eastAsia="zh-CN"/>
        </w:rPr>
        <w:t>成果转化</w:t>
      </w:r>
      <w:r>
        <w:t>拓展</w:t>
      </w:r>
    </w:p>
    <w:p w14:paraId="3787356D">
      <w:pPr>
        <w:ind w:firstLine="500" w:firstLineChars="0"/>
      </w:pPr>
      <w:r>
        <w:t>在1.0教师赋能基础上，平台向学生端和高校科研端持续拓展，形成2.0阶段的三大突破：</w:t>
      </w:r>
    </w:p>
    <w:p w14:paraId="7E0FE7DB">
      <w:pPr>
        <w:ind w:firstLine="500" w:firstLineChars="0"/>
      </w:pPr>
    </w:p>
    <w:p w14:paraId="368AC828">
      <w:pPr>
        <w:ind w:firstLine="500" w:firstLineChars="0"/>
        <w:rPr>
          <w:rFonts w:hint="eastAsia" w:eastAsia="仿宋"/>
          <w:lang w:eastAsia="zh"/>
        </w:rPr>
      </w:pPr>
      <w:r>
        <w:rPr>
          <w:rFonts w:hint="eastAsia" w:eastAsia="仿宋"/>
          <w:lang w:eastAsia="zh"/>
        </w:rPr>
        <w:drawing>
          <wp:inline distT="0" distB="0" distL="114300" distR="114300">
            <wp:extent cx="4998085" cy="2364740"/>
            <wp:effectExtent l="0" t="0" r="12065" b="165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9"/>
                    <a:stretch>
                      <a:fillRect/>
                    </a:stretch>
                  </pic:blipFill>
                  <pic:spPr>
                    <a:xfrm>
                      <a:off x="0" y="0"/>
                      <a:ext cx="4998085" cy="2364740"/>
                    </a:xfrm>
                    <a:prstGeom prst="rect">
                      <a:avLst/>
                    </a:prstGeom>
                  </pic:spPr>
                </pic:pic>
              </a:graphicData>
            </a:graphic>
          </wp:inline>
        </w:drawing>
      </w:r>
    </w:p>
    <w:p w14:paraId="7BCE889B">
      <w:pPr>
        <w:spacing w:before="60"/>
        <w:ind w:firstLine="500" w:firstLineChars="0"/>
      </w:pPr>
      <w:r>
        <w:t>突破一：学生数字素养培养体系。推出云知师AI学生端，定位为AI时代学生的第二课堂。聚焦三大核心能力模块：无代码编程模块，通过可视化编程界面培养计算思维与逻辑推理能力；OPC创业培训模块，提供从创意验证到商业化路演的全流程创业训练；垂域设计思维培训模块，以项目制学习训练跨学科问题解决能力。</w:t>
      </w:r>
    </w:p>
    <w:p w14:paraId="26B9F7CE">
      <w:pPr>
        <w:spacing w:before="60"/>
        <w:ind w:left="0" w:leftChars="0" w:firstLine="0" w:firstLineChars="0"/>
        <w:rPr>
          <w:rFonts w:hint="eastAsia" w:eastAsia="仿宋"/>
          <w:lang w:eastAsia="zh"/>
        </w:rPr>
      </w:pPr>
      <w:r>
        <w:rPr>
          <w:rFonts w:hint="eastAsia" w:eastAsia="仿宋"/>
          <w:lang w:eastAsia="zh"/>
        </w:rPr>
        <w:drawing>
          <wp:inline distT="0" distB="0" distL="114300" distR="114300">
            <wp:extent cx="5581650" cy="3071495"/>
            <wp:effectExtent l="0" t="0" r="0" b="146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0"/>
                    <a:stretch>
                      <a:fillRect/>
                    </a:stretch>
                  </pic:blipFill>
                  <pic:spPr>
                    <a:xfrm>
                      <a:off x="0" y="0"/>
                      <a:ext cx="5581650" cy="3071495"/>
                    </a:xfrm>
                    <a:prstGeom prst="rect">
                      <a:avLst/>
                    </a:prstGeom>
                  </pic:spPr>
                </pic:pic>
              </a:graphicData>
            </a:graphic>
          </wp:inline>
        </w:drawing>
      </w:r>
    </w:p>
    <w:p w14:paraId="5129AAB8">
      <w:pPr>
        <w:spacing w:before="60"/>
        <w:ind w:firstLine="500" w:firstLineChars="0"/>
        <w:rPr>
          <w:rFonts w:hint="eastAsia" w:eastAsia="仿宋"/>
          <w:lang w:eastAsia="zh"/>
          <w:woUserID w:val="2"/>
        </w:rPr>
      </w:pPr>
      <w:r>
        <w:t>突破二：高校科研赋能与成果转化。平台依托华东师范大学数据科学与工程学院的科研积累，构建了教育垂直领域专用AI技术体系，并孵化对应的企业，上海胆大求索科技有限公司。在平台底层技术上，在检索增强方面，支持百万级垂域知识库毫秒级响应，数据准确率达96.7%；在内容生成方面，自研可信文本生成技术确保教育内容输出的准确性和安全性；在架构设计方面，独创用户智能体自进化架构，通过数据飞轮实现AI能力的持续迭代。围绕上述技术已形成申请发明专利4项、软件著作权10项。</w:t>
      </w:r>
      <w:r>
        <w:rPr>
          <w:rFonts w:hint="eastAsia"/>
          <w:lang w:eastAsia="zh"/>
          <w:woUserID w:val="2"/>
        </w:rPr>
        <w:t>、</w:t>
      </w:r>
    </w:p>
    <w:p w14:paraId="3FC67880">
      <w:pPr>
        <w:spacing w:before="60"/>
        <w:ind w:left="0" w:leftChars="0" w:firstLine="0" w:firstLineChars="0"/>
        <w:rPr>
          <w:rFonts w:hint="eastAsia" w:eastAsia="仿宋"/>
          <w:lang w:eastAsia="zh"/>
        </w:rPr>
      </w:pPr>
      <w:r>
        <w:rPr>
          <w:rFonts w:hint="eastAsia" w:eastAsia="仿宋"/>
          <w:lang w:eastAsia="zh"/>
        </w:rPr>
        <w:drawing>
          <wp:inline distT="0" distB="0" distL="114300" distR="114300">
            <wp:extent cx="5727065" cy="3188335"/>
            <wp:effectExtent l="0" t="0" r="6985" b="1206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tretch>
                      <a:fillRect/>
                    </a:stretch>
                  </pic:blipFill>
                  <pic:spPr>
                    <a:xfrm>
                      <a:off x="0" y="0"/>
                      <a:ext cx="5727065" cy="3188335"/>
                    </a:xfrm>
                    <a:prstGeom prst="rect">
                      <a:avLst/>
                    </a:prstGeom>
                  </pic:spPr>
                </pic:pic>
              </a:graphicData>
            </a:graphic>
          </wp:inline>
        </w:drawing>
      </w:r>
    </w:p>
    <w:p w14:paraId="03079B8A">
      <w:pPr>
        <w:spacing w:before="60"/>
        <w:ind w:left="0" w:leftChars="0" w:firstLine="0" w:firstLineChars="0"/>
        <w:rPr>
          <w:rFonts w:hint="eastAsia" w:eastAsia="仿宋"/>
          <w:lang w:eastAsia="zh"/>
        </w:rPr>
      </w:pPr>
    </w:p>
    <w:p w14:paraId="4AE126BD">
      <w:pPr>
        <w:spacing w:before="60"/>
        <w:ind w:firstLine="500" w:firstLineChars="0"/>
        <w:rPr>
          <w:rFonts w:hint="eastAsia" w:eastAsia="仿宋"/>
          <w:lang w:eastAsia="zh"/>
        </w:rPr>
      </w:pPr>
    </w:p>
    <w:p w14:paraId="013F5611">
      <w:pPr>
        <w:spacing w:before="60"/>
        <w:ind w:firstLine="500" w:firstLineChars="0"/>
      </w:pPr>
      <w:r>
        <w:t>突破三：公益驱动的教育资源均衡机制。平台独创公益池模式，联动发达地区资深教师与欠发达地区学校，将优质教育资源和培训课程跨区域输送至西部省份，已在广西、贵州、云南、新疆等地落地。</w:t>
      </w:r>
    </w:p>
    <w:p w14:paraId="29BC1C42">
      <w:pPr>
        <w:spacing w:before="60"/>
        <w:ind w:firstLine="500" w:firstLineChars="0"/>
        <w:rPr>
          <w:rFonts w:hint="eastAsia" w:eastAsia="仿宋"/>
          <w:lang w:eastAsia="zh"/>
        </w:rPr>
      </w:pPr>
      <w:r>
        <w:rPr>
          <w:rFonts w:hint="eastAsia" w:eastAsia="仿宋"/>
          <w:lang w:eastAsia="zh"/>
        </w:rPr>
        <w:drawing>
          <wp:inline distT="0" distB="0" distL="114300" distR="114300">
            <wp:extent cx="5132070" cy="2615565"/>
            <wp:effectExtent l="0" t="0" r="11430" b="133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2"/>
                    <a:stretch>
                      <a:fillRect/>
                    </a:stretch>
                  </pic:blipFill>
                  <pic:spPr>
                    <a:xfrm>
                      <a:off x="0" y="0"/>
                      <a:ext cx="5132070" cy="2615565"/>
                    </a:xfrm>
                    <a:prstGeom prst="rect">
                      <a:avLst/>
                    </a:prstGeom>
                  </pic:spPr>
                </pic:pic>
              </a:graphicData>
            </a:graphic>
          </wp:inline>
        </w:drawing>
      </w:r>
    </w:p>
    <w:p w14:paraId="1CD72AA1">
      <w:pPr>
        <w:pStyle w:val="3"/>
      </w:pPr>
      <w:r>
        <w:t>（三）规模化落地路径</w:t>
      </w:r>
    </w:p>
    <w:p w14:paraId="5A26E39B">
      <w:pPr>
        <w:ind w:firstLine="500" w:firstLineChars="0"/>
      </w:pPr>
      <w:r>
        <w:t>平台采取高校科研引领—孵化企业落地—区域验证推广—全国规模化覆盖的路径。华东师范大学依托数据学院科研团队、国家级全民数字素养与技能培训基地、全国计算机工程中心，以及孵化企业上海胆大求索科技有限公司，形成产学研用一体化推进机制。目前平台已覆盖全国33个省份、340个城市、3,162所学校，服务教师超6万人、辐射学生超180万人，学生端独立用户</w:t>
      </w:r>
      <w:r>
        <w:rPr>
          <w:rFonts w:hint="eastAsia"/>
          <w:lang w:val="en-US" w:eastAsia="zh-CN"/>
        </w:rPr>
        <w:t>超4</w:t>
      </w:r>
      <w:r>
        <w:t>万人。</w:t>
      </w:r>
    </w:p>
    <w:p w14:paraId="79E79C77">
      <w:pPr>
        <w:pStyle w:val="2"/>
      </w:pPr>
      <w:r>
        <w:t>三、应用成效</w:t>
      </w:r>
    </w:p>
    <w:p w14:paraId="1F9CFE73">
      <w:pPr>
        <w:pStyle w:val="3"/>
      </w:pPr>
      <w:r>
        <w:t>（一）核心量化指标</w:t>
      </w:r>
    </w:p>
    <w:p w14:paraId="350FBC4A">
      <w:pPr>
        <w:ind w:firstLine="500" w:firstLineChars="0"/>
      </w:pPr>
      <w:r>
        <w:t>教师端成效显著：</w:t>
      </w:r>
      <w:r>
        <w:rPr>
          <w:rFonts w:hint="eastAsia"/>
          <w:lang w:val="en-US" w:eastAsia="zh-CN"/>
        </w:rPr>
        <w:t>通过反馈数据，</w:t>
      </w:r>
      <w:r>
        <w:t>备课效率提升85%，欠发达地区资源开发周期缩短80%，骨干教师创新提升75%，教师人均每周节省13小时。据测算，覆盖10万名教师年省人力成本约6.5亿元；降低欠发达地区教师流失率约10%，全国百万教师规模年省招聘成本约50亿元。平台累计产生AI工具使用超72万次、AI产物超129万件。</w:t>
      </w:r>
    </w:p>
    <w:p w14:paraId="3BE7D30C">
      <w:pPr>
        <w:spacing w:before="80"/>
        <w:ind w:firstLine="500" w:firstLineChars="0"/>
      </w:pPr>
      <w:r>
        <w:t>学生端成效持续释放：通过无代码编程、OPC创业培训、设计思维等课程，已为数万名学生提供AI核心素养培养，受益群体涵盖K12、高职、高校全学段。</w:t>
      </w:r>
    </w:p>
    <w:p w14:paraId="1237320E">
      <w:pPr>
        <w:spacing w:before="80"/>
        <w:ind w:firstLine="500" w:firstLineChars="0"/>
      </w:pPr>
      <w:r>
        <w:t>科研成果扎实：围绕AI教育技术已申请发明专利</w:t>
      </w:r>
      <w:r>
        <w:rPr>
          <w:rFonts w:hint="eastAsia"/>
          <w:lang w:val="en-US" w:eastAsia="zh-CN"/>
          <w:woUserID w:val="1"/>
        </w:rPr>
        <w:t>4</w:t>
      </w:r>
      <w:r>
        <w:t>项、软件著作权1</w:t>
      </w:r>
      <w:r>
        <w:rPr>
          <w:rFonts w:hint="eastAsia"/>
          <w:lang w:val="en-US" w:eastAsia="zh-CN"/>
          <w:woUserID w:val="1"/>
        </w:rPr>
        <w:t>0</w:t>
      </w:r>
      <w:r>
        <w:t>项，数据准确率96.7%等核心指标达到国内领先水平。孵化企业上海胆大求索科技有限公司，推动科研成果向产业应用转化。</w:t>
      </w:r>
      <w:r>
        <w:rPr>
          <w:rFonts w:hint="eastAsia"/>
        </w:rPr>
        <w:t>受到央视网《AI先行者》、上海浦江论坛、上海东方财经、《中国企业报》等报道，观看量过百万，并与华为、联想、英特尔等达成生态合作。</w:t>
      </w:r>
    </w:p>
    <w:p w14:paraId="309B7375">
      <w:pPr>
        <w:pStyle w:val="3"/>
      </w:pPr>
      <w:r>
        <w:t>（二）标志性成果</w:t>
      </w:r>
    </w:p>
    <w:p w14:paraId="0DD47C63">
      <w:pPr>
        <w:ind w:firstLine="500" w:firstLineChars="0"/>
      </w:pPr>
      <w:r>
        <w:t>云知师AI已入驻国家智慧教育公共服务平台AI实验场。完成了从教师端到学生端的全链条产品布局，并已在</w:t>
      </w:r>
      <w:r>
        <w:rPr>
          <w:rFonts w:hint="eastAsia"/>
          <w:lang w:val="en-US" w:eastAsia="zh-CN"/>
        </w:rPr>
        <w:t>33个省份，340个城市论证</w:t>
      </w:r>
      <w:r>
        <w:t>。服务用户总量远覆盖师生超1</w:t>
      </w:r>
      <w:r>
        <w:rPr>
          <w:rFonts w:hint="eastAsia"/>
          <w:lang w:val="en-US" w:eastAsia="zh-CN"/>
        </w:rPr>
        <w:t>90</w:t>
      </w:r>
      <w:r>
        <w:t>万人，社会效益显著。</w:t>
      </w:r>
    </w:p>
    <w:p w14:paraId="64A8ADD2">
      <w:pPr>
        <w:pStyle w:val="3"/>
      </w:pPr>
      <w:r>
        <w:t>（三）示范推广价值</w:t>
      </w:r>
    </w:p>
    <w:p w14:paraId="1BD20131">
      <w:pPr>
        <w:ind w:firstLine="500" w:firstLineChars="0"/>
      </w:pPr>
      <w:r>
        <w:t>一是体系可复制。本案例构建了平台赋能+评测诊断+培训提升+激励引导的完整闭环，为其他高校和区域提供了一套促进教师数智素养能力提升的标准方案。</w:t>
      </w:r>
    </w:p>
    <w:p w14:paraId="78972DE3">
      <w:pPr>
        <w:spacing w:before="60"/>
        <w:ind w:firstLine="500" w:firstLineChars="0"/>
      </w:pPr>
      <w:r>
        <w:t>二是模式可推广。本案例形成了高校研发+平台赋能+学校落实的三位一体推广模式，为各高校推动数智平台跨区域、跨学段推广提供有效模式。</w:t>
      </w:r>
    </w:p>
    <w:p w14:paraId="06CCC8C0">
      <w:pPr>
        <w:pStyle w:val="2"/>
      </w:pPr>
      <w:r>
        <w:t>四、创新点</w:t>
      </w:r>
    </w:p>
    <w:p w14:paraId="25E8B329"/>
    <w:p w14:paraId="5543FC82">
      <w:pPr>
        <w:numPr>
          <w:ilvl w:val="0"/>
          <w:numId w:val="1"/>
        </w:numPr>
        <w:spacing w:before="0"/>
        <w:rPr>
          <w:sz w:val="24"/>
          <w:szCs w:val="24"/>
        </w:rPr>
      </w:pPr>
      <w:r>
        <w:rPr>
          <w:b/>
          <w:bCs/>
          <w:sz w:val="24"/>
          <w:szCs w:val="24"/>
        </w:rPr>
        <w:t>技术创新。</w:t>
      </w:r>
      <w:r>
        <w:rPr>
          <w:sz w:val="24"/>
          <w:szCs w:val="24"/>
        </w:rPr>
        <w:t>深度融合提示词工程、思维链、RA</w:t>
      </w:r>
      <w:r>
        <w:rPr>
          <w:rFonts w:hint="eastAsia"/>
          <w:sz w:val="24"/>
          <w:szCs w:val="24"/>
          <w:lang w:eastAsia="zh"/>
          <w:woUserID w:val="2"/>
        </w:rPr>
        <w:t>G</w:t>
      </w:r>
      <w:r>
        <w:rPr>
          <w:sz w:val="24"/>
          <w:szCs w:val="24"/>
        </w:rPr>
        <w:t>及模型微调，构建教育垂直领域AI智能体，支撑40+教学场景落地</w:t>
      </w:r>
      <w:r>
        <w:rPr>
          <w:rFonts w:hint="eastAsia"/>
          <w:sz w:val="24"/>
          <w:szCs w:val="24"/>
          <w:lang w:eastAsia="zh-CN"/>
        </w:rPr>
        <w:t>，</w:t>
      </w:r>
      <w:r>
        <w:rPr>
          <w:sz w:val="24"/>
          <w:szCs w:val="24"/>
        </w:rPr>
        <w:t>达国内领先水平</w:t>
      </w:r>
      <w:r>
        <w:rPr>
          <w:rFonts w:hint="eastAsia"/>
          <w:sz w:val="24"/>
          <w:szCs w:val="24"/>
          <w:lang w:eastAsia="zh"/>
          <w:woUserID w:val="2"/>
        </w:rPr>
        <w:t>。荣获中美创客、英特尔全球人工嘉年华全球最高奖，并荣获英特尔、联想、华为等多个生态合作伙伴奖。</w:t>
      </w:r>
    </w:p>
    <w:p w14:paraId="3E45B6AB">
      <w:pPr>
        <w:numPr>
          <w:ilvl w:val="0"/>
          <w:numId w:val="0"/>
        </w:numPr>
        <w:spacing w:before="0"/>
        <w:rPr>
          <w:rFonts w:hint="eastAsia" w:eastAsia="仿宋"/>
          <w:sz w:val="24"/>
          <w:szCs w:val="24"/>
          <w:lang w:eastAsia="zh"/>
        </w:rPr>
      </w:pPr>
      <w:r>
        <w:rPr>
          <w:rFonts w:hint="eastAsia" w:eastAsia="仿宋"/>
          <w:sz w:val="24"/>
          <w:szCs w:val="24"/>
          <w:lang w:eastAsia="zh"/>
        </w:rPr>
        <w:drawing>
          <wp:inline distT="0" distB="0" distL="114300" distR="114300">
            <wp:extent cx="5730240" cy="2832735"/>
            <wp:effectExtent l="0" t="0" r="3810"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3"/>
                    <a:stretch>
                      <a:fillRect/>
                    </a:stretch>
                  </pic:blipFill>
                  <pic:spPr>
                    <a:xfrm>
                      <a:off x="0" y="0"/>
                      <a:ext cx="5730240" cy="2832735"/>
                    </a:xfrm>
                    <a:prstGeom prst="rect">
                      <a:avLst/>
                    </a:prstGeom>
                  </pic:spPr>
                </pic:pic>
              </a:graphicData>
            </a:graphic>
          </wp:inline>
        </w:drawing>
      </w:r>
    </w:p>
    <w:p w14:paraId="62A00CC2">
      <w:pPr>
        <w:spacing w:before="60"/>
      </w:pPr>
      <w:r>
        <w:rPr>
          <w:b/>
          <w:bCs/>
          <w:sz w:val="24"/>
          <w:szCs w:val="24"/>
        </w:rPr>
        <w:t>2. 模式创新——</w:t>
      </w:r>
      <w:r>
        <w:rPr>
          <w:sz w:val="24"/>
          <w:szCs w:val="24"/>
        </w:rPr>
        <w:t>从1.0到2.0的持续进化。1.0阶段聚焦教师数字素养评测与提升，构建闭环体系；2.0阶段拓展至学生数字素养培养和高校科研赋能。这一教师引领—师生共育—科研反哺的递进模式，区别于市场上一成不变的单一产品形态。</w:t>
      </w:r>
    </w:p>
    <w:p w14:paraId="4A0446CA">
      <w:pPr>
        <w:spacing w:before="60"/>
      </w:pPr>
      <w:r>
        <w:rPr>
          <w:b/>
          <w:bCs/>
          <w:sz w:val="24"/>
          <w:szCs w:val="24"/>
        </w:rPr>
        <w:t>3. 机制创新。</w:t>
      </w:r>
      <w:r>
        <w:rPr>
          <w:sz w:val="24"/>
          <w:szCs w:val="24"/>
        </w:rPr>
        <w:t>独创公益池机制，将发达地区优质资源输送至欠发达地区，在解决教育公平这一民生痛点上实现突破，已在西部多省取得实效。</w:t>
      </w:r>
    </w:p>
    <w:p w14:paraId="3C684002">
      <w:pPr>
        <w:spacing w:before="60"/>
      </w:pPr>
    </w:p>
    <w:p w14:paraId="6E485A4E">
      <w:pPr>
        <w:spacing w:before="60"/>
      </w:pPr>
    </w:p>
    <w:p w14:paraId="182B41AA">
      <w:r>
        <w:br w:type="page"/>
      </w:r>
    </w:p>
    <w:p w14:paraId="5526CD05">
      <w:pPr>
        <w:spacing w:after="300"/>
        <w:jc w:val="center"/>
      </w:pPr>
      <w:r>
        <w:rPr>
          <w:rFonts w:ascii="黑体" w:hAnsi="黑体" w:eastAsia="黑体" w:cs="黑体"/>
          <w:b/>
          <w:bCs/>
          <w:sz w:val="28"/>
          <w:szCs w:val="28"/>
        </w:rPr>
        <w:t>佐证材料清单</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526"/>
      </w:tblGrid>
      <w:tr w14:paraId="260C6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tcPr>
          <w:p w14:paraId="4BE0293F">
            <w:pPr>
              <w:jc w:val="center"/>
            </w:pPr>
            <w:r>
              <w:rPr>
                <w:b/>
                <w:bCs/>
                <w:sz w:val="22"/>
                <w:szCs w:val="22"/>
              </w:rPr>
              <w:t>材料类型</w:t>
            </w:r>
          </w:p>
        </w:tc>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tcPr>
          <w:p w14:paraId="5219C9EE">
            <w:pPr>
              <w:jc w:val="center"/>
            </w:pPr>
            <w:r>
              <w:rPr>
                <w:b/>
                <w:bCs/>
                <w:sz w:val="22"/>
                <w:szCs w:val="22"/>
              </w:rPr>
              <w:t>状态</w:t>
            </w:r>
          </w:p>
        </w:tc>
        <w:tc>
          <w:tcPr>
            <w:tcW w:w="4526"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tcPr>
          <w:p w14:paraId="3FD36005">
            <w:pPr>
              <w:jc w:val="center"/>
            </w:pPr>
            <w:r>
              <w:rPr>
                <w:b/>
                <w:bCs/>
                <w:sz w:val="22"/>
                <w:szCs w:val="22"/>
              </w:rPr>
              <w:t>备注</w:t>
            </w:r>
          </w:p>
        </w:tc>
      </w:tr>
      <w:tr w14:paraId="7C2C0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0A36B61">
            <w:r>
              <w:rPr>
                <w:color w:val="000000"/>
                <w:sz w:val="22"/>
                <w:szCs w:val="22"/>
              </w:rPr>
              <w:t>技术先进性</w:t>
            </w:r>
            <w:r>
              <w:rPr>
                <w:rFonts w:hint="eastAsia"/>
                <w:color w:val="000000"/>
                <w:sz w:val="22"/>
                <w:szCs w:val="22"/>
                <w:lang w:val="en-US" w:eastAsia="zh-CN"/>
              </w:rPr>
              <w:t>与创新</w:t>
            </w:r>
            <w:r>
              <w:rPr>
                <w:color w:val="000000"/>
                <w:sz w:val="22"/>
                <w:szCs w:val="22"/>
              </w:rPr>
              <w:t>证明</w:t>
            </w:r>
          </w:p>
        </w:tc>
        <w:tc>
          <w:tcPr>
            <w:tcW w:w="2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06FA1C5">
            <w:r>
              <w:rPr>
                <w:color w:val="000000"/>
                <w:sz w:val="22"/>
                <w:szCs w:val="22"/>
              </w:rPr>
              <w:t>✅已有</w:t>
            </w:r>
          </w:p>
        </w:tc>
        <w:tc>
          <w:tcPr>
            <w:tcW w:w="4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3195BAE">
            <w:pPr>
              <w:rPr>
                <w:rFonts w:hint="eastAsia" w:eastAsia="仿宋"/>
                <w:lang w:eastAsia="zh-CN"/>
              </w:rPr>
            </w:pPr>
            <w:r>
              <w:rPr>
                <w:color w:val="000000"/>
                <w:sz w:val="22"/>
                <w:szCs w:val="22"/>
              </w:rPr>
              <w:t>申请发明专利</w:t>
            </w:r>
            <w:r>
              <w:rPr>
                <w:rFonts w:hint="eastAsia"/>
                <w:color w:val="000000"/>
                <w:sz w:val="22"/>
                <w:szCs w:val="22"/>
                <w:lang w:val="en-US" w:eastAsia="zh-CN"/>
                <w:woUserID w:val="1"/>
              </w:rPr>
              <w:t>4</w:t>
            </w:r>
            <w:r>
              <w:rPr>
                <w:color w:val="000000"/>
                <w:sz w:val="22"/>
                <w:szCs w:val="22"/>
              </w:rPr>
              <w:t>项、软著1</w:t>
            </w:r>
            <w:r>
              <w:rPr>
                <w:rFonts w:hint="eastAsia"/>
                <w:color w:val="000000"/>
                <w:sz w:val="22"/>
                <w:szCs w:val="22"/>
                <w:lang w:val="en-US" w:eastAsia="zh-CN"/>
                <w:woUserID w:val="1"/>
              </w:rPr>
              <w:t>0</w:t>
            </w:r>
            <w:r>
              <w:rPr>
                <w:color w:val="000000"/>
                <w:sz w:val="22"/>
                <w:szCs w:val="22"/>
              </w:rPr>
              <w:t>项</w:t>
            </w:r>
            <w:r>
              <w:rPr>
                <w:color w:val="000000"/>
                <w:sz w:val="22"/>
                <w:szCs w:val="22"/>
              </w:rPr>
              <w:object>
                <v:shape id="_x0000_i1025" o:spt="75" type="#_x0000_t75" style="height:65.25pt;width:72.4pt;" o:ole="t" filled="f" o:preferrelative="t" stroked="f" coordsize="21600,21600">
                  <v:fill on="f" focussize="0,0"/>
                  <v:stroke on="f"/>
                  <v:imagedata r:id="rId15" o:title=""/>
                  <o:lock v:ext="edit" aspectratio="t"/>
                  <w10:wrap type="none"/>
                  <w10:anchorlock/>
                </v:shape>
                <o:OLEObject Type="Embed" ProgID="Package" ShapeID="_x0000_i1025" DrawAspect="Icon" ObjectID="_1468075725" r:id="rId14">
                  <o:LockedField>false</o:LockedField>
                </o:OLEObject>
              </w:object>
            </w:r>
          </w:p>
        </w:tc>
      </w:tr>
      <w:tr w14:paraId="735E5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5DDF7A1">
            <w:r>
              <w:rPr>
                <w:color w:val="000000"/>
                <w:sz w:val="22"/>
                <w:szCs w:val="22"/>
              </w:rPr>
              <w:t>用户使用报告</w:t>
            </w:r>
          </w:p>
        </w:tc>
        <w:tc>
          <w:tcPr>
            <w:tcW w:w="2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ED07C99">
            <w:r>
              <w:rPr>
                <w:color w:val="000000"/>
                <w:sz w:val="22"/>
                <w:szCs w:val="22"/>
              </w:rPr>
              <w:t>✅已有</w:t>
            </w:r>
          </w:p>
        </w:tc>
        <w:tc>
          <w:tcPr>
            <w:tcW w:w="4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D0EE612">
            <w:pPr>
              <w:rPr>
                <w:rFonts w:hint="eastAsia" w:eastAsia="仿宋"/>
                <w:lang w:eastAsia="zh-CN"/>
              </w:rPr>
            </w:pPr>
            <w:r>
              <w:rPr>
                <w:color w:val="000000"/>
                <w:sz w:val="22"/>
                <w:szCs w:val="22"/>
              </w:rPr>
              <w:t>可调用平台数据生成</w:t>
            </w:r>
            <w:r>
              <w:rPr>
                <w:color w:val="000000"/>
                <w:sz w:val="22"/>
                <w:szCs w:val="22"/>
              </w:rPr>
              <w:object>
                <v:shape id="_x0000_i1032" o:spt="75" type="#_x0000_t75" style="height:65.25pt;width:72.4pt;" o:ole="t" filled="f" o:preferrelative="t" stroked="f" coordsize="21600,21600">
                  <v:fill on="f" focussize="0,0"/>
                  <v:stroke on="f"/>
                  <v:imagedata r:id="rId17" o:title=""/>
                  <o:lock v:ext="edit" aspectratio="t"/>
                  <w10:wrap type="none"/>
                  <w10:anchorlock/>
                </v:shape>
                <o:OLEObject Type="Embed" ProgID="Package" ShapeID="_x0000_i1032" DrawAspect="Icon" ObjectID="_1468075726" r:id="rId16">
                  <o:LockedField>false</o:LockedField>
                </o:OLEObject>
              </w:object>
            </w:r>
            <w:bookmarkStart w:id="0" w:name="_GoBack"/>
            <w:bookmarkEnd w:id="0"/>
          </w:p>
        </w:tc>
      </w:tr>
      <w:tr w14:paraId="47EAF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5B96910">
            <w:r>
              <w:rPr>
                <w:color w:val="000000"/>
                <w:sz w:val="22"/>
                <w:szCs w:val="22"/>
              </w:rPr>
              <w:t>经济效益证明</w:t>
            </w:r>
          </w:p>
        </w:tc>
        <w:tc>
          <w:tcPr>
            <w:tcW w:w="2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19284B3">
            <w:r>
              <w:rPr>
                <w:color w:val="000000"/>
                <w:sz w:val="22"/>
                <w:szCs w:val="22"/>
              </w:rPr>
              <w:t>✅已有</w:t>
            </w:r>
          </w:p>
        </w:tc>
        <w:tc>
          <w:tcPr>
            <w:tcW w:w="4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9166249">
            <w:r>
              <w:rPr>
                <w:rFonts w:hint="eastAsia"/>
                <w:color w:val="000000"/>
                <w:sz w:val="22"/>
                <w:szCs w:val="22"/>
                <w:lang w:val="en-US" w:eastAsia="zh-CN"/>
              </w:rPr>
              <w:t>文中</w:t>
            </w:r>
            <w:r>
              <w:rPr>
                <w:color w:val="000000"/>
                <w:sz w:val="22"/>
                <w:szCs w:val="22"/>
              </w:rPr>
              <w:t>人力成本节省测算</w:t>
            </w:r>
          </w:p>
        </w:tc>
      </w:tr>
      <w:tr w14:paraId="66849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B10C0B5">
            <w:r>
              <w:rPr>
                <w:color w:val="000000"/>
                <w:sz w:val="22"/>
                <w:szCs w:val="22"/>
              </w:rPr>
              <w:t>检测报告</w:t>
            </w:r>
          </w:p>
        </w:tc>
        <w:tc>
          <w:tcPr>
            <w:tcW w:w="2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8AC746B">
            <w:pPr>
              <w:rPr>
                <w:rFonts w:hint="default" w:eastAsia="仿宋"/>
                <w:lang w:val="en-US" w:eastAsia="zh-CN"/>
              </w:rPr>
            </w:pPr>
            <w:r>
              <w:rPr>
                <w:color w:val="000000"/>
                <w:sz w:val="22"/>
                <w:szCs w:val="22"/>
              </w:rPr>
              <w:t>✅已有</w:t>
            </w:r>
          </w:p>
        </w:tc>
        <w:tc>
          <w:tcPr>
            <w:tcW w:w="4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48E8320">
            <w:pPr>
              <w:rPr>
                <w:rFonts w:hint="eastAsia" w:eastAsia="仿宋"/>
                <w:lang w:eastAsia="zh-CN"/>
              </w:rPr>
            </w:pPr>
            <w:r>
              <w:rPr>
                <w:color w:val="000000"/>
                <w:sz w:val="22"/>
                <w:szCs w:val="22"/>
              </w:rPr>
              <w:t>安全/性能检测</w:t>
            </w:r>
            <w:r>
              <w:rPr>
                <w:color w:val="000000"/>
                <w:sz w:val="22"/>
                <w:szCs w:val="22"/>
              </w:rPr>
              <w:object>
                <v:shape id="_x0000_i1030" o:spt="75" type="#_x0000_t75" style="height:65.25pt;width:72.4pt;" o:ole="t" filled="f" o:preferrelative="t" stroked="f" coordsize="21600,21600">
                  <v:fill on="f" focussize="0,0"/>
                  <v:stroke on="f"/>
                  <v:imagedata r:id="rId19" o:title=""/>
                  <o:lock v:ext="edit" aspectratio="t"/>
                  <w10:wrap type="none"/>
                  <w10:anchorlock/>
                </v:shape>
                <o:OLEObject Type="Embed" ProgID="Package" ShapeID="_x0000_i1030" DrawAspect="Icon" ObjectID="_1468075727" r:id="rId18">
                  <o:LockedField>false</o:LockedField>
                </o:OLEObject>
              </w:object>
            </w:r>
          </w:p>
        </w:tc>
      </w:tr>
      <w:tr w14:paraId="66B05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687AFAD">
            <w:r>
              <w:rPr>
                <w:color w:val="000000"/>
                <w:sz w:val="22"/>
                <w:szCs w:val="22"/>
              </w:rPr>
              <w:t>中央媒体</w:t>
            </w:r>
            <w:r>
              <w:rPr>
                <w:rFonts w:hint="eastAsia"/>
                <w:color w:val="000000"/>
                <w:sz w:val="22"/>
                <w:szCs w:val="22"/>
                <w:lang w:val="en-US" w:eastAsia="zh-CN"/>
              </w:rPr>
              <w:t>/相关报道</w:t>
            </w:r>
            <w:r>
              <w:rPr>
                <w:color w:val="000000"/>
                <w:sz w:val="22"/>
                <w:szCs w:val="22"/>
              </w:rPr>
              <w:t>报道</w:t>
            </w:r>
          </w:p>
        </w:tc>
        <w:tc>
          <w:tcPr>
            <w:tcW w:w="2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1DED21A">
            <w:r>
              <w:rPr>
                <w:color w:val="000000"/>
                <w:sz w:val="22"/>
                <w:szCs w:val="22"/>
              </w:rPr>
              <w:t>✅已有</w:t>
            </w:r>
          </w:p>
        </w:tc>
        <w:tc>
          <w:tcPr>
            <w:tcW w:w="4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EDB33C4">
            <w:pPr>
              <w:rPr>
                <w:rFonts w:hint="default" w:eastAsia="仿宋"/>
                <w:lang w:val="en-US" w:eastAsia="zh-CN"/>
              </w:rPr>
            </w:pPr>
            <w:r>
              <w:rPr>
                <w:rFonts w:hint="eastAsia"/>
                <w:color w:val="000000"/>
                <w:sz w:val="22"/>
                <w:szCs w:val="22"/>
                <w:lang w:val="en-US" w:eastAsia="zh-CN"/>
              </w:rPr>
              <w:t>查看附件</w:t>
            </w:r>
            <w:r>
              <w:rPr>
                <w:rFonts w:hint="eastAsia"/>
                <w:color w:val="000000"/>
                <w:sz w:val="22"/>
                <w:szCs w:val="22"/>
                <w:lang w:val="en-US" w:eastAsia="zh-CN"/>
              </w:rPr>
              <w:object>
                <v:shape id="_x0000_i1031" o:spt="75" type="#_x0000_t75" style="height:65.25pt;width:72.4pt;" o:ole="t" filled="f" o:preferrelative="t" stroked="f" coordsize="21600,21600">
                  <v:fill on="f" focussize="0,0"/>
                  <v:stroke on="f"/>
                  <v:imagedata r:id="rId21" o:title=""/>
                  <o:lock v:ext="edit" aspectratio="t"/>
                  <w10:wrap type="none"/>
                  <w10:anchorlock/>
                </v:shape>
                <o:OLEObject Type="Embed" ProgID="Package" ShapeID="_x0000_i1031" DrawAspect="Icon" ObjectID="_1468075728" r:id="rId20">
                  <o:LockedField>false</o:LockedField>
                </o:OLEObject>
              </w:object>
            </w:r>
          </w:p>
        </w:tc>
      </w:tr>
      <w:tr w14:paraId="77878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ABCAB27">
            <w:pPr>
              <w:rPr>
                <w:rFonts w:hint="default" w:eastAsia="仿宋"/>
                <w:lang w:val="en-US" w:eastAsia="zh-CN"/>
              </w:rPr>
            </w:pPr>
            <w:r>
              <w:rPr>
                <w:rFonts w:hint="eastAsia"/>
                <w:lang w:val="en-US" w:eastAsia="zh-CN"/>
              </w:rPr>
              <w:t>相关奖项</w:t>
            </w:r>
          </w:p>
        </w:tc>
        <w:tc>
          <w:tcPr>
            <w:tcW w:w="2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0F202A9">
            <w:r>
              <w:rPr>
                <w:color w:val="000000"/>
                <w:sz w:val="22"/>
                <w:szCs w:val="22"/>
              </w:rPr>
              <w:t>✅已有</w:t>
            </w:r>
          </w:p>
        </w:tc>
        <w:tc>
          <w:tcPr>
            <w:tcW w:w="4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0369E8F">
            <w:pPr>
              <w:rPr>
                <w:rFonts w:hint="default" w:eastAsia="仿宋"/>
                <w:lang w:val="en-US" w:eastAsia="zh-CN"/>
              </w:rPr>
            </w:pPr>
            <w:r>
              <w:rPr>
                <w:rFonts w:hint="eastAsia"/>
                <w:color w:val="000000"/>
                <w:sz w:val="22"/>
                <w:szCs w:val="22"/>
                <w:lang w:val="en-US" w:eastAsia="zh-CN"/>
              </w:rPr>
              <w:t>查</w:t>
            </w:r>
            <w:r>
              <w:rPr>
                <w:rFonts w:hint="eastAsia"/>
                <w:color w:val="000000"/>
                <w:sz w:val="22"/>
                <w:szCs w:val="22"/>
                <w:lang w:val="en-US" w:eastAsia="zh-CN"/>
              </w:rPr>
              <w:t>看附件</w:t>
            </w:r>
            <w:r>
              <w:rPr>
                <w:rFonts w:hint="eastAsia"/>
                <w:lang w:val="en-US" w:eastAsia="zh-CN"/>
              </w:rPr>
              <w:object>
                <v:shape id="_x0000_i1027" o:spt="75" type="#_x0000_t75" style="height:65.25pt;width:72.4pt;" o:ole="t" filled="f" o:preferrelative="t" stroked="f" coordsize="21600,21600">
                  <v:fill on="f" focussize="0,0"/>
                  <v:stroke on="f"/>
                  <v:imagedata r:id="rId23" o:title=""/>
                  <o:lock v:ext="edit" aspectratio="t"/>
                  <w10:wrap type="none"/>
                  <w10:anchorlock/>
                </v:shape>
                <o:OLEObject Type="Embed" ProgID="Package" ShapeID="_x0000_i1027" DrawAspect="Icon" ObjectID="_1468075729" r:id="rId22">
                  <o:LockedField>false</o:LockedField>
                </o:OLEObject>
              </w:object>
            </w:r>
          </w:p>
        </w:tc>
      </w:tr>
    </w:tbl>
    <w:p w14:paraId="49CE33D4"/>
    <w:p w14:paraId="3A266DD2"/>
    <w:p w14:paraId="119525BF"/>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097FE">
    <w:pPr>
      <w:jc w:val="center"/>
    </w:pPr>
    <w:r>
      <w:rPr>
        <w:sz w:val="18"/>
        <w:szCs w:val="18"/>
      </w:rPr>
      <w:t xml:space="preserv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08734D"/>
    <w:multiLevelType w:val="singleLevel"/>
    <w:tmpl w:val="7E08734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0"/>
  <w:displayVerticalDrawingGridEvery w:val="2"/>
  <w:compat>
    <w:balanceSingleByteDoubleByteWidth/>
    <w:doNotExpandShiftReturn/>
    <w:adjustLineHeightInTable/>
    <w:doNotWrapTextWithPunct/>
    <w:doNotUseEastAsianBreakRules/>
    <w:useFELayout/>
    <w:compatSetting w:name="compatibilityMode" w:uri="http://schemas.microsoft.com/office/word" w:val="15"/>
  </w:compat>
  <w:rsids>
    <w:rsidRoot w:val="00000000"/>
    <w:rsid w:val="00141226"/>
    <w:rsid w:val="11A976A8"/>
    <w:rsid w:val="150C68CB"/>
    <w:rsid w:val="1833336E"/>
    <w:rsid w:val="1DA65088"/>
    <w:rsid w:val="22D0085A"/>
    <w:rsid w:val="34E6283D"/>
    <w:rsid w:val="3C090BBF"/>
    <w:rsid w:val="3DB01A30"/>
    <w:rsid w:val="3FBA6DA0"/>
    <w:rsid w:val="3FE57000"/>
    <w:rsid w:val="3FEA7292"/>
    <w:rsid w:val="40CB113B"/>
    <w:rsid w:val="566D6A2E"/>
    <w:rsid w:val="5B872136"/>
    <w:rsid w:val="5BFFBEF0"/>
    <w:rsid w:val="5F9D50FD"/>
    <w:rsid w:val="6A1A6A17"/>
    <w:rsid w:val="6C676022"/>
    <w:rsid w:val="6C755F89"/>
    <w:rsid w:val="76B105C6"/>
    <w:rsid w:val="7CCF1E92"/>
    <w:rsid w:val="7FA06711"/>
    <w:rsid w:val="7FB5945C"/>
    <w:rsid w:val="976D1B7D"/>
    <w:rsid w:val="BAAFA312"/>
    <w:rsid w:val="C64FEE5F"/>
    <w:rsid w:val="C79F4287"/>
    <w:rsid w:val="CFFB59AF"/>
    <w:rsid w:val="DDFF6240"/>
    <w:rsid w:val="EA7F2B55"/>
    <w:rsid w:val="F325CEBB"/>
    <w:rsid w:val="F76EDC96"/>
    <w:rsid w:val="F77E0DFD"/>
    <w:rsid w:val="F7ED998E"/>
    <w:rsid w:val="FFFF86E8"/>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仿宋" w:hAnsi="仿宋" w:eastAsia="仿宋" w:cs="仿宋"/>
      <w:sz w:val="24"/>
      <w:szCs w:val="24"/>
    </w:rPr>
  </w:style>
  <w:style w:type="paragraph" w:styleId="2">
    <w:name w:val="heading 1"/>
    <w:next w:val="1"/>
    <w:qFormat/>
    <w:uiPriority w:val="0"/>
    <w:pPr>
      <w:spacing w:before="240" w:after="120"/>
      <w:outlineLvl w:val="0"/>
    </w:pPr>
    <w:rPr>
      <w:rFonts w:ascii="黑体" w:hAnsi="黑体" w:eastAsia="黑体" w:cs="黑体"/>
      <w:b/>
      <w:bCs/>
      <w:sz w:val="32"/>
      <w:szCs w:val="32"/>
    </w:rPr>
  </w:style>
  <w:style w:type="paragraph" w:styleId="3">
    <w:name w:val="heading 2"/>
    <w:next w:val="1"/>
    <w:qFormat/>
    <w:uiPriority w:val="0"/>
    <w:pPr>
      <w:spacing w:before="200" w:after="100"/>
      <w:outlineLvl w:val="1"/>
    </w:pPr>
    <w:rPr>
      <w:rFonts w:ascii="黑体" w:hAnsi="黑体" w:eastAsia="黑体" w:cs="黑体"/>
      <w:b/>
      <w:bCs/>
      <w:sz w:val="28"/>
      <w:szCs w:val="28"/>
    </w:rPr>
  </w:style>
  <w:style w:type="paragraph" w:styleId="4">
    <w:name w:val="heading 3"/>
    <w:next w:val="1"/>
    <w:qFormat/>
    <w:uiPriority w:val="0"/>
    <w:rPr>
      <w:rFonts w:ascii="仿宋" w:hAnsi="仿宋" w:eastAsia="仿宋" w:cs="仿宋"/>
      <w:color w:val="1F4D78"/>
      <w:sz w:val="24"/>
      <w:szCs w:val="24"/>
    </w:rPr>
  </w:style>
  <w:style w:type="paragraph" w:styleId="5">
    <w:name w:val="heading 4"/>
    <w:next w:val="1"/>
    <w:qFormat/>
    <w:uiPriority w:val="0"/>
    <w:rPr>
      <w:rFonts w:ascii="仿宋" w:hAnsi="仿宋" w:eastAsia="仿宋" w:cs="仿宋"/>
      <w:i/>
      <w:iCs/>
      <w:color w:val="2E74B5"/>
      <w:sz w:val="24"/>
      <w:szCs w:val="24"/>
    </w:rPr>
  </w:style>
  <w:style w:type="paragraph" w:styleId="6">
    <w:name w:val="heading 5"/>
    <w:next w:val="1"/>
    <w:qFormat/>
    <w:uiPriority w:val="0"/>
    <w:rPr>
      <w:rFonts w:ascii="仿宋" w:hAnsi="仿宋" w:eastAsia="仿宋" w:cs="仿宋"/>
      <w:color w:val="2E74B5"/>
      <w:sz w:val="24"/>
      <w:szCs w:val="24"/>
    </w:rPr>
  </w:style>
  <w:style w:type="paragraph" w:styleId="7">
    <w:name w:val="heading 6"/>
    <w:next w:val="1"/>
    <w:qFormat/>
    <w:uiPriority w:val="0"/>
    <w:rPr>
      <w:rFonts w:ascii="仿宋" w:hAnsi="仿宋" w:eastAsia="仿宋" w:cs="仿宋"/>
      <w:color w:val="1F4D78"/>
      <w:sz w:val="24"/>
      <w:szCs w:val="24"/>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仿宋" w:hAnsi="仿宋" w:eastAsia="仿宋" w:cs="仿宋"/>
      <w:sz w:val="20"/>
      <w:szCs w:val="20"/>
    </w:rPr>
  </w:style>
  <w:style w:type="paragraph" w:styleId="9">
    <w:name w:val="footnote text"/>
    <w:link w:val="17"/>
    <w:semiHidden/>
    <w:unhideWhenUsed/>
    <w:qFormat/>
    <w:uiPriority w:val="99"/>
    <w:pPr>
      <w:spacing w:after="0" w:line="240" w:lineRule="auto"/>
    </w:pPr>
    <w:rPr>
      <w:rFonts w:ascii="仿宋" w:hAnsi="仿宋" w:eastAsia="仿宋" w:cs="仿宋"/>
      <w:sz w:val="20"/>
      <w:szCs w:val="20"/>
    </w:rPr>
  </w:style>
  <w:style w:type="paragraph" w:styleId="10">
    <w:name w:val="Title"/>
    <w:qFormat/>
    <w:uiPriority w:val="0"/>
    <w:rPr>
      <w:rFonts w:ascii="仿宋" w:hAnsi="仿宋" w:eastAsia="仿宋" w:cs="仿宋"/>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仿宋" w:hAnsi="仿宋" w:eastAsia="仿宋" w:cs="仿宋"/>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4.emf"/><Relationship Id="rId22" Type="http://schemas.openxmlformats.org/officeDocument/2006/relationships/oleObject" Target="embeddings/oleObject5.bin"/><Relationship Id="rId21" Type="http://schemas.openxmlformats.org/officeDocument/2006/relationships/image" Target="media/image13.e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12.emf"/><Relationship Id="rId18" Type="http://schemas.openxmlformats.org/officeDocument/2006/relationships/oleObject" Target="embeddings/oleObject3.bin"/><Relationship Id="rId17" Type="http://schemas.openxmlformats.org/officeDocument/2006/relationships/image" Target="media/image11.emf"/><Relationship Id="rId16" Type="http://schemas.openxmlformats.org/officeDocument/2006/relationships/oleObject" Target="embeddings/oleObject2.bin"/><Relationship Id="rId15" Type="http://schemas.openxmlformats.org/officeDocument/2006/relationships/image" Target="media/image10.emf"/><Relationship Id="rId14" Type="http://schemas.openxmlformats.org/officeDocument/2006/relationships/oleObject" Target="embeddings/oleObject1.bin"/><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2467</Words>
  <Characters>2601</Characters>
  <Lines>1</Lines>
  <Paragraphs>1</Paragraphs>
  <TotalTime>94</TotalTime>
  <ScaleCrop>false</ScaleCrop>
  <LinksUpToDate>false</LinksUpToDate>
  <CharactersWithSpaces>2608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2026-07-15T21:52:00Z</dcterms:created>
  <dc:creator>Un-named</dc:creator>
  <cp:lastModifiedBy>浪迹天涯</cp:lastModifiedBy>
  <dcterms:modified xsi:type="dcterms:W3CDTF">2026-07-16T03:41:07Z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eyJoZGlkIjoiY2E4ZTkwYWZlMTQ4OWY1N2I0MTkwYWU5ZjIzOGM0YzIiLCJ1c2VySWQiOiIxMjQyNTk0NTI2In0=</vt:lpwstr>
  </property>
  <property fmtid="{D5CDD505-2E9C-101B-9397-08002B2CF9AE}" pid="3" name="KSOProductBuildVer">
    <vt:lpwstr>2052-12.1.0.26895</vt:lpwstr>
  </property>
  <property fmtid="{D5CDD505-2E9C-101B-9397-08002B2CF9AE}" pid="4" name="ICV">
    <vt:lpwstr>FAC6B4EBEF9AB20D6EA6576AA43EFFAF_43</vt:lpwstr>
  </property>
</Properties>
</file>