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200" w:line="264" w:lineRule="auto"/>
        <w:jc w:val="center"/>
      </w:pPr>
      <w:r>
        <w:rPr>
          <w:rFonts w:ascii="Calibri" w:hAnsi="Calibri" w:eastAsia="SimSun"/>
          <w:b/>
          <w:sz w:val="48"/>
        </w:rPr>
        <w:t>热电池智能设计与验证平台开发技术协议</w:t>
      </w:r>
    </w:p>
    <w:p>
      <w:pPr>
        <w:spacing w:before="0" w:after="800" w:line="264" w:lineRule="auto"/>
        <w:jc w:val="center"/>
      </w:pPr>
      <w:r>
        <w:rPr>
          <w:rFonts w:ascii="Calibri" w:hAnsi="Calibri" w:eastAsia="SimSun"/>
          <w:color w:val="595959"/>
          <w:sz w:val="28"/>
        </w:rPr>
        <w:t>任务需求、模型建设、系统开发与验收约定草案</w:t>
      </w:r>
    </w:p>
    <w:p>
      <w:pPr>
        <w:spacing w:before="0" w:after="240" w:line="264" w:lineRule="auto"/>
        <w:ind w:left="2948"/>
        <w:jc w:val="left"/>
      </w:pPr>
      <w:r>
        <w:rPr>
          <w:rFonts w:ascii="Calibri" w:hAnsi="Calibri" w:eastAsia="SimSun"/>
          <w:sz w:val="24"/>
        </w:rPr>
        <w:t>编写：</w:t>
      </w:r>
    </w:p>
    <w:p>
      <w:pPr>
        <w:spacing w:before="0" w:after="240" w:line="264" w:lineRule="auto"/>
        <w:ind w:left="2948"/>
        <w:jc w:val="left"/>
      </w:pPr>
      <w:r>
        <w:rPr>
          <w:rFonts w:ascii="Calibri" w:hAnsi="Calibri" w:eastAsia="SimSun"/>
          <w:sz w:val="24"/>
        </w:rPr>
        <w:t>校对：</w:t>
      </w:r>
    </w:p>
    <w:p>
      <w:pPr>
        <w:spacing w:before="0" w:after="240" w:line="264" w:lineRule="auto"/>
        <w:ind w:left="2948"/>
        <w:jc w:val="left"/>
      </w:pPr>
      <w:r>
        <w:rPr>
          <w:rFonts w:ascii="Calibri" w:hAnsi="Calibri" w:eastAsia="SimSun"/>
          <w:sz w:val="24"/>
        </w:rPr>
        <w:t>审核：</w:t>
      </w:r>
    </w:p>
    <w:p>
      <w:pPr>
        <w:spacing w:before="0" w:after="240" w:line="264" w:lineRule="auto"/>
        <w:ind w:left="2948"/>
        <w:jc w:val="left"/>
      </w:pPr>
      <w:r>
        <w:rPr>
          <w:rFonts w:ascii="Calibri" w:hAnsi="Calibri" w:eastAsia="SimSun"/>
          <w:sz w:val="24"/>
        </w:rPr>
        <w:t>批准：</w:t>
      </w:r>
    </w:p>
    <w:p/>
    <w:p/>
    <w:p/>
    <w:p/>
    <w:p/>
    <w:p/>
    <w:p>
      <w:pPr>
        <w:jc w:val="center"/>
      </w:pPr>
      <w:r>
        <w:rPr>
          <w:rFonts w:ascii="Calibri" w:hAnsi="Calibri" w:eastAsia="SimSun"/>
          <w:b/>
          <w:sz w:val="26"/>
        </w:rPr>
        <w:t>甲方：上海空间电源研究所（以最终签约主体为准）    乙方：【待确认】</w:t>
      </w:r>
    </w:p>
    <w:p>
      <w:pPr>
        <w:jc w:val="center"/>
      </w:pPr>
      <w:r>
        <w:rPr>
          <w:rFonts w:ascii="Calibri" w:hAnsi="Calibri" w:eastAsia="SimSun"/>
          <w:sz w:val="24"/>
        </w:rPr>
        <w:t>2026年6月</w:t>
      </w:r>
    </w:p>
    <w:p>
      <w:r>
        <w:br w:type="page"/>
      </w:r>
    </w:p>
    <w:p>
      <w:pPr>
        <w:spacing w:before="0" w:after="120" w:line="264" w:lineRule="auto"/>
      </w:pPr>
      <w:r>
        <w:rPr>
          <w:rFonts w:ascii="Calibri" w:hAnsi="Calibri" w:eastAsia="SimSun"/>
        </w:rPr>
        <w:t>甲方：上海空间电源研究所（以最终签约主体为准）</w:t>
      </w:r>
    </w:p>
    <w:p>
      <w:pPr>
        <w:spacing w:before="0" w:after="120" w:line="264" w:lineRule="auto"/>
      </w:pPr>
      <w:r>
        <w:rPr>
          <w:rFonts w:ascii="Calibri" w:hAnsi="Calibri" w:eastAsia="SimSun"/>
        </w:rPr>
        <w:t>乙方：【待确认，建议填写最终签约主体】</w:t>
      </w:r>
    </w:p>
    <w:p>
      <w:pPr>
        <w:spacing w:before="0" w:after="120" w:line="264" w:lineRule="auto"/>
      </w:pPr>
      <w:r>
        <w:rPr>
          <w:rFonts w:ascii="Calibri" w:hAnsi="Calibri" w:eastAsia="SimSun"/>
        </w:rPr>
        <w:t>经甲乙双方协商，甲方委托乙方开发热电池智能设计与验证平台。双方围绕平台用途、技术要求、交付资料、验收培训、技术服务和保密要求达成如下技术协议。</w:t>
      </w:r>
    </w:p>
    <w:p>
      <w:pPr>
        <w:pStyle w:val="Heading1"/>
      </w:pPr>
      <w:r>
        <w:t>一、软件用途</w:t>
      </w:r>
    </w:p>
    <w:p>
      <w:pPr>
        <w:spacing w:before="0" w:after="120" w:line="264" w:lineRule="auto"/>
      </w:pPr>
      <w:r>
        <w:rPr>
          <w:rFonts w:ascii="Calibri" w:hAnsi="Calibri" w:eastAsia="SimSun"/>
        </w:rPr>
        <w:t>热电池智能设计与验证平台用于支撑热电池由经验设计向数据驱动工程智能升级。平台连接热电池设计参数、放电参数、电性能曲线、结构设计参数和力学环境条件，帮助设计人员更快发现规律、更早做出判断、更少依赖反复试制。</w:t>
      </w:r>
    </w:p>
    <w:p>
      <w:pPr>
        <w:spacing w:before="0" w:after="120" w:line="264" w:lineRule="auto"/>
      </w:pPr>
      <w:r>
        <w:rPr>
          <w:rFonts w:ascii="Calibri" w:hAnsi="Calibri" w:eastAsia="SimSun"/>
        </w:rPr>
        <w:t>平台应支持输入总体任务需求、设计参数、放电参数、历史实测数据和力学环境条件，输出工作电压-时间曲线、单体内阻-时间曲线、推荐设计参数、约束再设计方案、结构设计参数、模型评价结果和验证报告。</w:t>
      </w:r>
    </w:p>
    <w:p>
      <w:pPr>
        <w:pStyle w:val="Heading1"/>
      </w:pPr>
      <w:r>
        <w:t>二、技术要求</w:t>
      </w:r>
    </w:p>
    <w:p>
      <w:pPr>
        <w:pStyle w:val="Heading2"/>
      </w:pPr>
      <w:r>
        <w:t>2.1 软件主要技术指标</w:t>
      </w:r>
    </w:p>
    <w:p>
      <w:pPr>
        <w:pStyle w:val="ListBullet"/>
        <w:spacing w:before="0" w:after="120" w:line="280" w:lineRule="auto"/>
      </w:pPr>
      <w:r>
        <w:rPr>
          <w:rFonts w:ascii="Calibri" w:hAnsi="Calibri" w:eastAsia="SimSun"/>
        </w:rPr>
        <w:t>★软件具有数据治理与样本库模块，可管理热电池设计参数、放电参数、实测电性能曲线、力学环境条件和模型训练样本。</w:t>
      </w:r>
    </w:p>
    <w:p>
      <w:pPr>
        <w:pStyle w:val="ListBullet"/>
        <w:spacing w:before="0" w:after="120" w:line="280" w:lineRule="auto"/>
      </w:pPr>
      <w:r>
        <w:rPr>
          <w:rFonts w:ascii="Calibri" w:hAnsi="Calibri" w:eastAsia="SimSun"/>
        </w:rPr>
        <w:t>★软件具有电性能正向预测模型，可根据设计参数与放电参数输出工作电压-时间曲线和单体内阻-时间曲线。</w:t>
      </w:r>
    </w:p>
    <w:p>
      <w:pPr>
        <w:pStyle w:val="ListBullet"/>
        <w:spacing w:before="0" w:after="120" w:line="280" w:lineRule="auto"/>
      </w:pPr>
      <w:r>
        <w:rPr>
          <w:rFonts w:ascii="Calibri" w:hAnsi="Calibri" w:eastAsia="SimSun"/>
        </w:rPr>
        <w:t>★软件具有总体任务需求反推设计模块，可根据工作电压、工作时间、工作温度、工作电流或功率程序等任务需求输出热电池设计参数。</w:t>
      </w:r>
    </w:p>
    <w:p>
      <w:pPr>
        <w:pStyle w:val="ListBullet"/>
        <w:spacing w:before="0" w:after="120" w:line="280" w:lineRule="auto"/>
      </w:pPr>
      <w:r>
        <w:rPr>
          <w:rFonts w:ascii="Calibri" w:hAnsi="Calibri" w:eastAsia="SimSun"/>
        </w:rPr>
        <w:t>★软件具有约束变更再设计模块，可在外形、重量、工艺、材料等约束变化时更新设计方案。</w:t>
      </w:r>
    </w:p>
    <w:p>
      <w:pPr>
        <w:pStyle w:val="ListBullet"/>
        <w:spacing w:before="0" w:after="120" w:line="280" w:lineRule="auto"/>
      </w:pPr>
      <w:r>
        <w:rPr>
          <w:rFonts w:ascii="Calibri" w:hAnsi="Calibri" w:eastAsia="SimSun"/>
        </w:rPr>
        <w:t>★软件具有模型自学习与版本管理模块，可导入新增数据、保留不同版本模型并评价更新后模型精度。</w:t>
      </w:r>
    </w:p>
    <w:p>
      <w:pPr>
        <w:pStyle w:val="ListBullet"/>
        <w:spacing w:before="0" w:after="120" w:line="280" w:lineRule="auto"/>
      </w:pPr>
      <w:r>
        <w:rPr>
          <w:rFonts w:ascii="Calibri" w:hAnsi="Calibri" w:eastAsia="SimSun"/>
        </w:rPr>
        <w:t>★软件具有结构设计与力学环境关联模型，可根据振动量级等力学环境条件输出结构设计参数。</w:t>
      </w:r>
    </w:p>
    <w:p>
      <w:pPr>
        <w:pStyle w:val="ListBullet"/>
        <w:spacing w:before="0" w:after="120" w:line="280" w:lineRule="auto"/>
      </w:pPr>
      <w:r>
        <w:rPr>
          <w:rFonts w:ascii="Calibri" w:hAnsi="Calibri" w:eastAsia="SimSun"/>
        </w:rPr>
        <w:t>★软件具有报告输出和过程留痕能力，可导出预测、设计、再设计、模型评价和验收相关报告。</w:t>
      </w:r>
    </w:p>
    <w:p>
      <w:pPr>
        <w:pStyle w:val="Heading2"/>
      </w:pPr>
      <w:r>
        <w:t>2.2 数据治理与样本库技术指标</w:t>
      </w:r>
    </w:p>
    <w:p>
      <w:pPr>
        <w:spacing w:before="0" w:after="120" w:line="264" w:lineRule="auto"/>
      </w:pPr>
      <w:r>
        <w:rPr>
          <w:rFonts w:ascii="Calibri" w:hAnsi="Calibri" w:eastAsia="SimSun"/>
        </w:rPr>
        <w:t>软件应建立统一样本库，将分散的工程资料转化为结构清晰、可训练、可验证的模型样本。样本应保持“设计条件—放电过程—电性能曲线”之间的对应关系。</w:t>
      </w:r>
    </w:p>
    <w:p>
      <w:pPr>
        <w:pStyle w:val="ListBullet"/>
        <w:spacing w:before="0" w:after="120" w:line="280" w:lineRule="auto"/>
      </w:pPr>
      <w:r>
        <w:rPr>
          <w:rFonts w:ascii="Calibri" w:hAnsi="Calibri" w:eastAsia="SimSun"/>
        </w:rPr>
        <w:t>支持导入参数表、放电负载程序、实测电性能曲线、力学环境条件和后续补充数据。</w:t>
      </w:r>
    </w:p>
    <w:p>
      <w:pPr>
        <w:pStyle w:val="ListBullet"/>
        <w:spacing w:before="0" w:after="120" w:line="280" w:lineRule="auto"/>
      </w:pPr>
      <w:r>
        <w:rPr>
          <w:rFonts w:ascii="Calibri" w:hAnsi="Calibri" w:eastAsia="SimSun"/>
        </w:rPr>
        <w:t>支持不同电化学体系、不同批次、不同模型版本的数据标识和隔离。</w:t>
      </w:r>
    </w:p>
    <w:p>
      <w:pPr>
        <w:pStyle w:val="ListBullet"/>
        <w:spacing w:before="0" w:after="120" w:line="280" w:lineRule="auto"/>
      </w:pPr>
      <w:r>
        <w:rPr>
          <w:rFonts w:ascii="Calibri" w:hAnsi="Calibri" w:eastAsia="SimSun"/>
        </w:rPr>
        <w:t>支持数据清洗、异常标记、缺失字段标记、样本划分和版本记录。</w:t>
      </w:r>
    </w:p>
    <w:p>
      <w:pPr>
        <w:pStyle w:val="ListBullet"/>
        <w:spacing w:before="0" w:after="120" w:line="280" w:lineRule="auto"/>
      </w:pPr>
      <w:r>
        <w:rPr>
          <w:rFonts w:ascii="Calibri" w:hAnsi="Calibri" w:eastAsia="SimSun"/>
        </w:rPr>
        <w:t>支持输出数据可用性说明、字段覆盖情况、样本统计和训练/验证/测试集清单。</w:t>
      </w:r>
    </w:p>
    <w:p>
      <w:pPr>
        <w:pStyle w:val="Heading2"/>
      </w:pPr>
      <w:r>
        <w:t>2.3 电性能正向预测模型技术指标</w:t>
      </w:r>
    </w:p>
    <w:p>
      <w:pPr>
        <w:pStyle w:val="ListBullet"/>
        <w:spacing w:before="0" w:after="120" w:line="280" w:lineRule="auto"/>
      </w:pPr>
      <w:r>
        <w:rPr>
          <w:rFonts w:ascii="Calibri" w:hAnsi="Calibri" w:eastAsia="SimSun"/>
        </w:rPr>
        <w:t>输入字段包括设计参数、工作温度、工作电流-时间序列或功率-时间序列等放电参数，具体字段见附录。</w:t>
      </w:r>
    </w:p>
    <w:p>
      <w:pPr>
        <w:pStyle w:val="ListBullet"/>
        <w:spacing w:before="0" w:after="120" w:line="280" w:lineRule="auto"/>
      </w:pPr>
      <w:r>
        <w:rPr>
          <w:rFonts w:ascii="Calibri" w:hAnsi="Calibri" w:eastAsia="SimSun"/>
        </w:rPr>
        <w:t>输出字段包括工作电压-时间曲线、单体内阻-时间曲线、关键点指标、误差评价结果和相关性/敏感性分析结果。</w:t>
      </w:r>
    </w:p>
    <w:p>
      <w:pPr>
        <w:pStyle w:val="ListBullet"/>
        <w:spacing w:before="0" w:after="120" w:line="280" w:lineRule="auto"/>
      </w:pPr>
      <w:r>
        <w:rPr>
          <w:rFonts w:ascii="Calibri" w:hAnsi="Calibri" w:eastAsia="SimSun"/>
        </w:rPr>
        <w:t>允许不同电化学体系建立不同模型，模型使用时应显示体系、版本、训练数据范围和适用边界。</w:t>
      </w:r>
    </w:p>
    <w:p>
      <w:pPr>
        <w:pStyle w:val="ListBullet"/>
        <w:spacing w:before="0" w:after="120" w:line="280" w:lineRule="auto"/>
      </w:pPr>
      <w:r>
        <w:rPr>
          <w:rFonts w:ascii="Calibri" w:hAnsi="Calibri" w:eastAsia="SimSun"/>
        </w:rPr>
        <w:t>在双方确认的验收数据集和评价方法下，最大误差目标控制在 1% 以内；分阶段验证时，应分别评价平台段、尾段衰减段和关键点误差。</w:t>
      </w:r>
    </w:p>
    <w:p>
      <w:pPr>
        <w:pStyle w:val="ListBullet"/>
        <w:spacing w:before="0" w:after="120" w:line="280" w:lineRule="auto"/>
      </w:pPr>
      <w:r>
        <w:rPr>
          <w:rFonts w:ascii="Calibri" w:hAnsi="Calibri" w:eastAsia="SimSun"/>
        </w:rPr>
        <w:t>软件应给出输出高精度电性能曲线所需的设计参数种类，并支持设计人员查看相关性分析结论。</w:t>
      </w:r>
    </w:p>
    <w:p>
      <w:pPr>
        <w:pStyle w:val="Heading2"/>
      </w:pPr>
      <w:r>
        <w:t>2.4 总体任务需求反推设计模块技术指标</w:t>
      </w:r>
    </w:p>
    <w:p>
      <w:pPr>
        <w:pStyle w:val="ListBullet"/>
        <w:spacing w:before="0" w:after="120" w:line="280" w:lineRule="auto"/>
      </w:pPr>
      <w:r>
        <w:rPr>
          <w:rFonts w:ascii="Calibri" w:hAnsi="Calibri" w:eastAsia="SimSun"/>
        </w:rPr>
        <w:t>输入字段包括工作电压、工作时间、工作温度、工作电流或功率程序、容量约束、外形约束及其他双方确认的总体任务需求。</w:t>
      </w:r>
    </w:p>
    <w:p>
      <w:pPr>
        <w:pStyle w:val="ListBullet"/>
        <w:spacing w:before="0" w:after="120" w:line="280" w:lineRule="auto"/>
      </w:pPr>
      <w:r>
        <w:rPr>
          <w:rFonts w:ascii="Calibri" w:hAnsi="Calibri" w:eastAsia="SimSun"/>
        </w:rPr>
        <w:t>输出设计参数应覆盖单元电池、单体电池、材料体系、单体串并联、电堆、引燃条、电池盖、电池壳和保温结构等参数。</w:t>
      </w:r>
    </w:p>
    <w:p>
      <w:pPr>
        <w:pStyle w:val="ListBullet"/>
        <w:spacing w:before="0" w:after="120" w:line="280" w:lineRule="auto"/>
      </w:pPr>
      <w:r>
        <w:rPr>
          <w:rFonts w:ascii="Calibri" w:hAnsi="Calibri" w:eastAsia="SimSun"/>
        </w:rPr>
        <w:t>在模型版本未更新且输入完全相同的情况下，软件输出设计应具备唯一性。</w:t>
      </w:r>
    </w:p>
    <w:p>
      <w:pPr>
        <w:pStyle w:val="ListBullet"/>
        <w:spacing w:before="0" w:after="120" w:line="280" w:lineRule="auto"/>
      </w:pPr>
      <w:r>
        <w:rPr>
          <w:rFonts w:ascii="Calibri" w:hAnsi="Calibri" w:eastAsia="SimSun"/>
        </w:rPr>
        <w:t>按照输出设计制备的电池应满足总体任务需求，实际容量余量与设计容量余量相差目标控制在 10% 以内。</w:t>
      </w:r>
    </w:p>
    <w:p>
      <w:pPr>
        <w:pStyle w:val="ListBullet"/>
        <w:spacing w:before="0" w:after="120" w:line="280" w:lineRule="auto"/>
      </w:pPr>
      <w:r>
        <w:rPr>
          <w:rFonts w:ascii="Calibri" w:hAnsi="Calibri" w:eastAsia="SimSun"/>
        </w:rPr>
        <w:t>软件应输出推荐方案、关键设计依据、约束满足情况和需要人工复核的风险项。</w:t>
      </w:r>
    </w:p>
    <w:p>
      <w:pPr>
        <w:pStyle w:val="Heading2"/>
      </w:pPr>
      <w:r>
        <w:t>2.5 约束变更再设计模块技术指标</w:t>
      </w:r>
    </w:p>
    <w:p>
      <w:pPr>
        <w:pStyle w:val="ListBullet"/>
        <w:spacing w:before="0" w:after="120" w:line="280" w:lineRule="auto"/>
      </w:pPr>
      <w:r>
        <w:rPr>
          <w:rFonts w:ascii="Calibri" w:hAnsi="Calibri" w:eastAsia="SimSun"/>
        </w:rPr>
        <w:t>软件应支持固定或调整外形尺寸、重量、工艺、材料、容量余量、结构参数等约束条件。</w:t>
      </w:r>
    </w:p>
    <w:p>
      <w:pPr>
        <w:pStyle w:val="ListBullet"/>
        <w:spacing w:before="0" w:after="120" w:line="280" w:lineRule="auto"/>
      </w:pPr>
      <w:r>
        <w:rPr>
          <w:rFonts w:ascii="Calibri" w:hAnsi="Calibri" w:eastAsia="SimSun"/>
        </w:rPr>
        <w:t>在总体任务需求不变时，软件应根据新的约束条件更新设计参数并重新评估电性能。</w:t>
      </w:r>
    </w:p>
    <w:p>
      <w:pPr>
        <w:pStyle w:val="ListBullet"/>
        <w:spacing w:before="0" w:after="120" w:line="280" w:lineRule="auto"/>
      </w:pPr>
      <w:r>
        <w:rPr>
          <w:rFonts w:ascii="Calibri" w:hAnsi="Calibri" w:eastAsia="SimSun"/>
        </w:rPr>
        <w:t>软件应支持展示原方案与再设计方案的参数差异、预测曲线差异和约束满足性。</w:t>
      </w:r>
    </w:p>
    <w:p>
      <w:pPr>
        <w:pStyle w:val="ListBullet"/>
        <w:spacing w:before="0" w:after="120" w:line="280" w:lineRule="auto"/>
      </w:pPr>
      <w:r>
        <w:rPr>
          <w:rFonts w:ascii="Calibri" w:hAnsi="Calibri" w:eastAsia="SimSun"/>
        </w:rPr>
        <w:t>软件应保存再设计过程、人工调整记录和方案版本，便于追溯。</w:t>
      </w:r>
    </w:p>
    <w:p>
      <w:pPr>
        <w:pStyle w:val="Heading2"/>
      </w:pPr>
      <w:r>
        <w:t>2.6 模型自学习与版本管理技术指标</w:t>
      </w:r>
    </w:p>
    <w:p>
      <w:pPr>
        <w:pStyle w:val="ListBullet"/>
        <w:spacing w:before="0" w:after="120" w:line="280" w:lineRule="auto"/>
      </w:pPr>
      <w:r>
        <w:rPr>
          <w:rFonts w:ascii="Calibri" w:hAnsi="Calibri" w:eastAsia="SimSun"/>
        </w:rPr>
        <w:t>软件应支持将新增电池设计参数、放电参数和实测电性能数据导入样本库，并触发模型更新流程。</w:t>
      </w:r>
    </w:p>
    <w:p>
      <w:pPr>
        <w:pStyle w:val="ListBullet"/>
        <w:spacing w:before="0" w:after="120" w:line="280" w:lineRule="auto"/>
      </w:pPr>
      <w:r>
        <w:rPr>
          <w:rFonts w:ascii="Calibri" w:hAnsi="Calibri" w:eastAsia="SimSun"/>
        </w:rPr>
        <w:t>软件应保留不同版本模型，记录训练数据、训练时间、评价指标、适用范围和版本说明。</w:t>
      </w:r>
    </w:p>
    <w:p>
      <w:pPr>
        <w:pStyle w:val="ListBullet"/>
        <w:spacing w:before="0" w:after="120" w:line="280" w:lineRule="auto"/>
      </w:pPr>
      <w:r>
        <w:rPr>
          <w:rFonts w:ascii="Calibri" w:hAnsi="Calibri" w:eastAsia="SimSun"/>
        </w:rPr>
        <w:t>软件应支持更新前后模型精度对比，评价指标包括曲线误差、关键点误差、容量余量误差和分体系评价结果。</w:t>
      </w:r>
    </w:p>
    <w:p>
      <w:pPr>
        <w:pStyle w:val="ListBullet"/>
        <w:spacing w:before="0" w:after="120" w:line="280" w:lineRule="auto"/>
      </w:pPr>
      <w:r>
        <w:rPr>
          <w:rFonts w:ascii="Calibri" w:hAnsi="Calibri" w:eastAsia="SimSun"/>
        </w:rPr>
        <w:t>软件应支持设计人员在不同模型版本之间选择、对比和回溯。</w:t>
      </w:r>
    </w:p>
    <w:p>
      <w:pPr>
        <w:pStyle w:val="Heading2"/>
      </w:pPr>
      <w:r>
        <w:t>2.7 结构设计与力学环境关联模型技术指标</w:t>
      </w:r>
    </w:p>
    <w:p>
      <w:pPr>
        <w:pStyle w:val="ListBullet"/>
        <w:spacing w:before="0" w:after="120" w:line="280" w:lineRule="auto"/>
      </w:pPr>
      <w:r>
        <w:rPr>
          <w:rFonts w:ascii="Calibri" w:hAnsi="Calibri" w:eastAsia="SimSun"/>
        </w:rPr>
        <w:t>输入字段包括振动量级、冲击、载荷或双方确认的其他力学环境条件。</w:t>
      </w:r>
    </w:p>
    <w:p>
      <w:pPr>
        <w:pStyle w:val="ListBullet"/>
        <w:spacing w:before="0" w:after="120" w:line="280" w:lineRule="auto"/>
      </w:pPr>
      <w:r>
        <w:rPr>
          <w:rFonts w:ascii="Calibri" w:hAnsi="Calibri" w:eastAsia="SimSun"/>
        </w:rPr>
        <w:t>输出字段包括电堆紧固结构、紧固条材料/宽度/厚度、固定板厚度、电堆紧固压力、壳体材料与厚度、保温结构等结构设计参数。</w:t>
      </w:r>
    </w:p>
    <w:p>
      <w:pPr>
        <w:pStyle w:val="ListBullet"/>
        <w:spacing w:before="0" w:after="120" w:line="280" w:lineRule="auto"/>
      </w:pPr>
      <w:r>
        <w:rPr>
          <w:rFonts w:ascii="Calibri" w:hAnsi="Calibri" w:eastAsia="SimSun"/>
        </w:rPr>
        <w:t>软件应支持输出结构参数生成依据、模型版本、输入条件和适用边界说明。</w:t>
      </w:r>
    </w:p>
    <w:p>
      <w:pPr>
        <w:pStyle w:val="ListBullet"/>
        <w:spacing w:before="0" w:after="120" w:line="280" w:lineRule="auto"/>
      </w:pPr>
      <w:r>
        <w:rPr>
          <w:rFonts w:ascii="Calibri" w:hAnsi="Calibri" w:eastAsia="SimSun"/>
        </w:rPr>
        <w:t>结构设计结果应能与电性能设计结果联动，形成完整热电池设计方案。</w:t>
      </w:r>
    </w:p>
    <w:p>
      <w:pPr>
        <w:pStyle w:val="Heading2"/>
      </w:pPr>
      <w:r>
        <w:t>2.8 报告输出与系统使用技术指标</w:t>
      </w:r>
    </w:p>
    <w:p>
      <w:pPr>
        <w:pStyle w:val="ListBullet"/>
        <w:spacing w:before="0" w:after="120" w:line="280" w:lineRule="auto"/>
      </w:pPr>
      <w:r>
        <w:rPr>
          <w:rFonts w:ascii="Calibri" w:hAnsi="Calibri" w:eastAsia="SimSun"/>
        </w:rPr>
        <w:t>软件应提供面向设计人员的一站式工作流，支持任务输入、预测、反推、再设计、验证、报告生成和结果归档。</w:t>
      </w:r>
    </w:p>
    <w:p>
      <w:pPr>
        <w:pStyle w:val="ListBullet"/>
        <w:spacing w:before="0" w:after="120" w:line="280" w:lineRule="auto"/>
      </w:pPr>
      <w:r>
        <w:rPr>
          <w:rFonts w:ascii="Calibri" w:hAnsi="Calibri" w:eastAsia="SimSun"/>
        </w:rPr>
        <w:t>软件应支持导出 Word 或 PDF 格式报告，包括预测报告、设计方案报告、约束再设计报告、模型评价报告和数据清单。</w:t>
      </w:r>
    </w:p>
    <w:p>
      <w:pPr>
        <w:pStyle w:val="ListBullet"/>
        <w:spacing w:before="0" w:after="120" w:line="280" w:lineRule="auto"/>
      </w:pPr>
      <w:r>
        <w:rPr>
          <w:rFonts w:ascii="Calibri" w:hAnsi="Calibri" w:eastAsia="SimSun"/>
        </w:rPr>
        <w:t>软件应记录关键输入、输出结果、模型版本、人工调整、确认操作和导出记录。</w:t>
      </w:r>
    </w:p>
    <w:p>
      <w:pPr>
        <w:pStyle w:val="Heading1"/>
      </w:pPr>
      <w:r>
        <w:t>三、其他要求</w:t>
      </w:r>
    </w:p>
    <w:p>
      <w:pPr>
        <w:pStyle w:val="Heading2"/>
      </w:pPr>
      <w:r>
        <w:t>3.1 软件使用环境要求</w:t>
      </w:r>
    </w:p>
    <w:p>
      <w:pPr>
        <w:spacing w:before="0" w:after="120" w:line="264" w:lineRule="auto"/>
      </w:pPr>
      <w:r>
        <w:rPr>
          <w:rFonts w:ascii="Calibri" w:hAnsi="Calibri" w:eastAsia="SimSun"/>
        </w:rPr>
        <w:t>软件应支持甲方指定环境的本地化部署与运行。具体服务器、操作系统、数据库、中间件、网络隔离和权限管理要求由双方在实施阶段确认。系统应满足甲方数据安全和保密管理要求，不得依赖未经甲方批准的外部互联网服务处理项目数据。</w:t>
      </w:r>
    </w:p>
    <w:p>
      <w:pPr>
        <w:pStyle w:val="Heading2"/>
      </w:pPr>
      <w:r>
        <w:t>3.2 软件版本与模块要求</w:t>
      </w:r>
    </w:p>
    <w:p>
      <w:pPr>
        <w:spacing w:before="0" w:after="120" w:line="264" w:lineRule="auto"/>
      </w:pPr>
      <w:r/>
      <w:r>
        <w:rPr>
          <w:rFonts w:ascii="Calibri" w:hAnsi="Calibri" w:eastAsia="SimSun"/>
          <w:b w:val="0"/>
          <w:sz w:val="22"/>
        </w:rPr>
        <w:t>乙方交付的软件应为交货时双方确认的稳定版本，至少包括数据治理与样本库、电性能正向预测、总体任务需求反推设计、约束变更再设计、模型自学习与版本管理、结构设计与力学环境关联、报告输出与系统管理等模块。双方确认，本项目建议采用授权许可使用模式，甲方在合同约定的用户数量、部署环境、业务场景和授权期限内使用系统；系统建设可基于乙方现有自进化智能体框架 EvoMind 进行场景化适配。</w:t>
      </w:r>
    </w:p>
    <w:p>
      <w:pPr>
        <w:pStyle w:val="Heading1"/>
      </w:pPr>
      <w:r>
        <w:t>四、技术资料</w:t>
      </w:r>
    </w:p>
    <w:p>
      <w:pPr>
        <w:spacing w:before="0" w:after="120" w:line="264" w:lineRule="auto"/>
      </w:pPr>
      <w:r>
        <w:rPr>
          <w:rFonts w:ascii="Calibri" w:hAnsi="Calibri" w:eastAsia="SimSun"/>
        </w:rPr>
        <w:t>乙方应在软件启动、阶段评审和验收时提供如下技术资料。</w:t>
      </w:r>
    </w:p>
    <w:tbl>
      <w:tblPr>
        <w:tblStyle w:val="TableGrid"/>
        <w:tblW w:type="auto" w:w="0"/>
        <w:jc w:val="left"/>
        <w:tblLayout w:type="fixed"/>
        <w:tblLook w:firstColumn="1" w:firstRow="1" w:lastColumn="0" w:lastRow="0" w:noHBand="0" w:noVBand="1" w:val="04A0"/>
        <w:tblCellMar>
          <w:top w:w="80" w:type="dxa"/>
          <w:start w:w="120" w:type="dxa"/>
          <w:bottom w:w="80" w:type="dxa"/>
          <w:end w:w="120" w:type="dxa"/>
        </w:tblCellMar>
      </w:tblPr>
      <w:tblGrid>
        <w:gridCol w:w="4680"/>
        <w:gridCol w:w="4680"/>
      </w:tblGrid>
      <w:tr>
        <w:trPr>
          <w:tblHeader w:val="true"/>
          <w:cantSplit/>
        </w:trPr>
        <w:tc>
          <w:tcPr>
            <w:tcW w:type="dxa" w:w="2160"/>
            <w:shd w:fill="F2F4F7"/>
          </w:tcPr>
          <w:p>
            <w:pPr>
              <w:spacing w:before="0" w:after="0" w:line="264" w:lineRule="auto"/>
              <w:jc w:val="center"/>
            </w:pPr>
            <w:r>
              <w:rPr>
                <w:rFonts w:ascii="Calibri" w:hAnsi="Calibri" w:eastAsia="SimSun"/>
                <w:b/>
              </w:rPr>
              <w:t>交付阶段</w:t>
            </w:r>
          </w:p>
        </w:tc>
        <w:tc>
          <w:tcPr>
            <w:tcW w:type="dxa" w:w="7200"/>
            <w:shd w:fill="F2F4F7"/>
          </w:tcPr>
          <w:p>
            <w:pPr>
              <w:spacing w:before="0" w:after="0" w:line="264" w:lineRule="auto"/>
              <w:jc w:val="center"/>
            </w:pPr>
            <w:r>
              <w:rPr>
                <w:rFonts w:ascii="Calibri" w:hAnsi="Calibri" w:eastAsia="SimSun"/>
                <w:b/>
              </w:rPr>
              <w:t>资料名称</w:t>
            </w:r>
          </w:p>
        </w:tc>
      </w:tr>
      <w:tr>
        <w:trPr>
          <w:cantSplit/>
        </w:trPr>
        <w:tc>
          <w:tcPr>
            <w:tcW w:type="dxa" w:w="4680"/>
            <w:vAlign w:val="center"/>
          </w:tcPr>
          <w:p>
            <w:pPr>
              <w:spacing w:before="0" w:after="0" w:line="264" w:lineRule="auto"/>
              <w:jc w:val="center"/>
            </w:pPr>
            <w:r>
              <w:rPr>
                <w:rFonts w:ascii="Calibri" w:hAnsi="Calibri" w:eastAsia="SimSun"/>
              </w:rPr>
              <w:t>启动/方案阶段</w:t>
            </w:r>
          </w:p>
        </w:tc>
        <w:tc>
          <w:tcPr>
            <w:tcW w:type="dxa" w:w="4680"/>
            <w:vAlign w:val="center"/>
          </w:tcPr>
          <w:p>
            <w:pPr>
              <w:spacing w:before="0" w:after="0" w:line="264" w:lineRule="auto"/>
              <w:jc w:val="left"/>
            </w:pPr>
            <w:r>
              <w:rPr>
                <w:rFonts w:ascii="Calibri" w:hAnsi="Calibri" w:eastAsia="SimSun"/>
              </w:rPr>
              <w:t>详细设计方案、项目实施计划、数据模板说明、模型技术路线说明。</w:t>
            </w:r>
          </w:p>
        </w:tc>
      </w:tr>
      <w:tr>
        <w:trPr>
          <w:cantSplit/>
        </w:trPr>
        <w:tc>
          <w:tcPr>
            <w:tcW w:type="dxa" w:w="4680"/>
            <w:vAlign w:val="center"/>
          </w:tcPr>
          <w:p>
            <w:pPr>
              <w:spacing w:before="0" w:after="0" w:line="264" w:lineRule="auto"/>
              <w:jc w:val="center"/>
            </w:pPr>
            <w:r>
              <w:rPr>
                <w:rFonts w:ascii="Calibri" w:hAnsi="Calibri" w:eastAsia="SimSun"/>
              </w:rPr>
              <w:t>开发/联调阶段</w:t>
            </w:r>
          </w:p>
        </w:tc>
        <w:tc>
          <w:tcPr>
            <w:tcW w:type="dxa" w:w="4680"/>
            <w:vAlign w:val="center"/>
          </w:tcPr>
          <w:p>
            <w:pPr>
              <w:spacing w:before="0" w:after="0" w:line="264" w:lineRule="auto"/>
              <w:jc w:val="left"/>
            </w:pPr>
            <w:r>
              <w:rPr>
                <w:rFonts w:ascii="Calibri" w:hAnsi="Calibri" w:eastAsia="SimSun"/>
              </w:rPr>
              <w:t>数据治理说明、模型训练报告、模型验证报告、接口说明、阶段测试记录。</w:t>
            </w:r>
          </w:p>
        </w:tc>
      </w:tr>
      <w:tr>
        <w:trPr>
          <w:cantSplit/>
        </w:trPr>
        <w:tc>
          <w:tcPr>
            <w:tcW w:type="dxa" w:w="4680"/>
            <w:vAlign w:val="center"/>
          </w:tcPr>
          <w:p>
            <w:pPr>
              <w:spacing w:before="0" w:after="0" w:line="264" w:lineRule="auto"/>
              <w:jc w:val="center"/>
            </w:pPr>
            <w:r>
              <w:rPr>
                <w:rFonts w:ascii="Calibri" w:hAnsi="Calibri" w:eastAsia="SimSun"/>
              </w:rPr>
              <w:t>验收阶段</w:t>
            </w:r>
          </w:p>
        </w:tc>
        <w:tc>
          <w:tcPr>
            <w:tcW w:type="dxa" w:w="4680"/>
            <w:vAlign w:val="center"/>
          </w:tcPr>
          <w:p>
            <w:pPr>
              <w:spacing w:before="0" w:after="0" w:line="264" w:lineRule="auto"/>
              <w:jc w:val="left"/>
            </w:pPr>
            <w:r/>
            <w:r>
              <w:rPr>
                <w:rFonts w:ascii="Calibri" w:hAnsi="Calibri" w:eastAsia="SimSun"/>
                <w:b w:val="0"/>
                <w:sz w:val="22"/>
              </w:rPr>
              <w:t>系统研制总结、系统操作指导说明书、部署与维护说明、授权使用说明、模型版本说明、验收测试报告、系统软件介质及必要配置/脚本说明。</w:t>
            </w:r>
          </w:p>
        </w:tc>
      </w:tr>
    </w:tbl>
    <w:p/>
    <w:p>
      <w:pPr>
        <w:pStyle w:val="Heading1"/>
      </w:pPr>
      <w:r/>
      <w:r>
        <w:rPr>
          <w:rFonts w:ascii="Calibri" w:hAnsi="Calibri" w:eastAsia="SimSun"/>
          <w:b/>
          <w:sz w:val="22"/>
        </w:rPr>
        <w:t>五、交付标准与交付要求</w:t>
      </w:r>
    </w:p>
    <w:p>
      <w:pPr>
        <w:spacing w:after="120"/>
      </w:pPr>
      <w:r/>
      <w:r>
        <w:rPr>
          <w:rFonts w:ascii="Calibri" w:hAnsi="Calibri" w:eastAsia="SimSun"/>
          <w:b w:val="0"/>
          <w:sz w:val="22"/>
        </w:rPr>
        <w:t>本项目采用授权许可使用制。乙方应按本技术协议约定交付授权范围内的软件系统、模型成果、数据与文档资料。交付物以双方确认的验收数据、现场部署环境和验收记录为准，应满足可部署、可运行、可验证、可追溯和可维护要求。交付验收应覆盖功能、性能与稳定性、模型指标、交付物完整性和安全保密要求；核心功能完成率应为 100%，P0 级缺陷修复率应为 100%。</w:t>
      </w:r>
    </w:p>
    <w:tbl>
      <w:tblPr>
        <w:tblStyle w:val="TableGrid"/>
        <w:tblW w:type="auto" w:w="0"/>
        <w:jc w:val="left"/>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rPr>
          <w:tblHeader w:val="true"/>
          <w:cantSplit/>
        </w:trPr>
        <w:tc>
          <w:tcPr>
            <w:tcW w:type="dxa" w:w="1656"/>
            <w:vAlign w:val="center"/>
            <w:shd w:fill="F2F4F7"/>
          </w:tcPr>
          <w:p>
            <w:pPr>
              <w:spacing w:after="0"/>
              <w:jc w:val="center"/>
            </w:pPr>
            <w:r>
              <w:rPr>
                <w:rFonts w:ascii="Calibri" w:hAnsi="Calibri" w:eastAsia="SimSun"/>
                <w:b/>
                <w:sz w:val="22"/>
              </w:rPr>
              <w:t>交付项</w:t>
            </w:r>
          </w:p>
        </w:tc>
        <w:tc>
          <w:tcPr>
            <w:tcW w:type="dxa" w:w="2952"/>
            <w:vAlign w:val="center"/>
            <w:shd w:fill="F2F4F7"/>
          </w:tcPr>
          <w:p>
            <w:pPr>
              <w:spacing w:after="0"/>
              <w:jc w:val="center"/>
            </w:pPr>
            <w:r>
              <w:rPr>
                <w:rFonts w:ascii="Calibri" w:hAnsi="Calibri" w:eastAsia="SimSun"/>
                <w:b/>
                <w:sz w:val="22"/>
              </w:rPr>
              <w:t>交付内容</w:t>
            </w:r>
          </w:p>
        </w:tc>
        <w:tc>
          <w:tcPr>
            <w:tcW w:type="dxa" w:w="4752"/>
            <w:vAlign w:val="center"/>
            <w:shd w:fill="F2F4F7"/>
          </w:tcPr>
          <w:p>
            <w:pPr>
              <w:spacing w:after="0"/>
              <w:jc w:val="center"/>
            </w:pPr>
            <w:r>
              <w:rPr>
                <w:rFonts w:ascii="Calibri" w:hAnsi="Calibri" w:eastAsia="SimSun"/>
                <w:b/>
                <w:sz w:val="22"/>
              </w:rPr>
              <w:t>交付标准</w:t>
            </w:r>
          </w:p>
        </w:tc>
      </w:tr>
      <w:tr>
        <w:trPr>
          <w:cantSplit/>
        </w:trPr>
        <w:tc>
          <w:tcPr>
            <w:tcW w:type="dxa" w:w="3120"/>
            <w:vAlign w:val="center"/>
          </w:tcPr>
          <w:p>
            <w:pPr>
              <w:spacing w:after="0"/>
              <w:jc w:val="center"/>
            </w:pPr>
            <w:r>
              <w:rPr>
                <w:rFonts w:ascii="Calibri" w:hAnsi="Calibri" w:eastAsia="SimSun"/>
                <w:sz w:val="22"/>
              </w:rPr>
              <w:t>软件系统</w:t>
            </w:r>
          </w:p>
        </w:tc>
        <w:tc>
          <w:tcPr>
            <w:tcW w:type="dxa" w:w="3120"/>
            <w:vAlign w:val="center"/>
          </w:tcPr>
          <w:p>
            <w:pPr>
              <w:spacing w:after="0"/>
              <w:jc w:val="left"/>
            </w:pPr>
            <w:r/>
            <w:r>
              <w:rPr>
                <w:rFonts w:ascii="Calibri" w:hAnsi="Calibri" w:eastAsia="SimSun"/>
                <w:b w:val="0"/>
                <w:sz w:val="22"/>
              </w:rPr>
              <w:t>系统软件、部署包、授权文件、配置文件、运行环境说明。</w:t>
            </w:r>
          </w:p>
        </w:tc>
        <w:tc>
          <w:tcPr>
            <w:tcW w:type="dxa" w:w="3120"/>
            <w:vAlign w:val="center"/>
          </w:tcPr>
          <w:p>
            <w:pPr>
              <w:spacing w:after="0"/>
              <w:jc w:val="left"/>
            </w:pPr>
            <w:r/>
            <w:r>
              <w:rPr>
                <w:rFonts w:ascii="Calibri" w:hAnsi="Calibri" w:eastAsia="SimSun"/>
                <w:b w:val="0"/>
                <w:sz w:val="22"/>
              </w:rPr>
              <w:t>可在甲方确认环境中部署运行，授权校验有效，模块完整，界面与操作流程满足双方确认的使用场景；试运行期间不得遗留影响主流程使用的 P0 级缺陷。</w:t>
            </w:r>
          </w:p>
        </w:tc>
      </w:tr>
      <w:tr>
        <w:trPr>
          <w:cantSplit/>
        </w:trPr>
        <w:tc>
          <w:tcPr>
            <w:tcW w:type="dxa" w:w="3120"/>
            <w:vAlign w:val="center"/>
          </w:tcPr>
          <w:p>
            <w:pPr>
              <w:spacing w:after="0"/>
              <w:jc w:val="center"/>
            </w:pPr>
            <w:r>
              <w:rPr>
                <w:rFonts w:ascii="Calibri" w:hAnsi="Calibri" w:eastAsia="SimSun"/>
                <w:sz w:val="22"/>
              </w:rPr>
              <w:t>功能模块</w:t>
            </w:r>
          </w:p>
        </w:tc>
        <w:tc>
          <w:tcPr>
            <w:tcW w:type="dxa" w:w="3120"/>
            <w:vAlign w:val="center"/>
          </w:tcPr>
          <w:p>
            <w:pPr>
              <w:spacing w:after="0"/>
              <w:jc w:val="left"/>
            </w:pPr>
            <w:r>
              <w:rPr>
                <w:rFonts w:ascii="Calibri" w:hAnsi="Calibri" w:eastAsia="SimSun"/>
                <w:sz w:val="22"/>
              </w:rPr>
              <w:t>数据治理与样本库、电性能正向预测、总体任务反推设计、约束变更再设计、模型自学习与版本管理、结构力学环境模型、报告输出。</w:t>
            </w:r>
          </w:p>
        </w:tc>
        <w:tc>
          <w:tcPr>
            <w:tcW w:type="dxa" w:w="3120"/>
            <w:vAlign w:val="center"/>
          </w:tcPr>
          <w:p>
            <w:pPr>
              <w:spacing w:after="0"/>
              <w:jc w:val="left"/>
            </w:pPr>
            <w:r/>
            <w:r>
              <w:rPr>
                <w:rFonts w:ascii="Calibri" w:hAnsi="Calibri" w:eastAsia="SimSun"/>
                <w:b w:val="0"/>
                <w:sz w:val="22"/>
              </w:rPr>
              <w:t>核心功能清单完成率 100%；能够基于双方确认样例完成端到端操作，输出结果字段完整，关键输入、模型版本和输出方案可追溯；P0 级缺陷修复率 100%，其他问题形成双方确认的问题清单和整改记录。</w:t>
            </w:r>
          </w:p>
        </w:tc>
      </w:tr>
      <w:tr>
        <w:trPr>
          <w:cantSplit/>
        </w:trPr>
        <w:tc>
          <w:tcPr>
            <w:tcW w:type="dxa" w:w="3120"/>
            <w:vAlign w:val="center"/>
          </w:tcPr>
          <w:p>
            <w:pPr>
              <w:spacing w:after="0"/>
              <w:jc w:val="center"/>
            </w:pPr>
            <w:r>
              <w:rPr>
                <w:rFonts w:ascii="Calibri" w:hAnsi="Calibri" w:eastAsia="SimSun"/>
                <w:sz w:val="22"/>
              </w:rPr>
              <w:t>模型成果</w:t>
            </w:r>
          </w:p>
        </w:tc>
        <w:tc>
          <w:tcPr>
            <w:tcW w:type="dxa" w:w="3120"/>
            <w:vAlign w:val="center"/>
          </w:tcPr>
          <w:p>
            <w:pPr>
              <w:spacing w:after="0"/>
              <w:jc w:val="left"/>
            </w:pPr>
            <w:r>
              <w:rPr>
                <w:rFonts w:ascii="Calibri" w:hAnsi="Calibri" w:eastAsia="SimSun"/>
                <w:sz w:val="22"/>
              </w:rPr>
              <w:t>模型文件、模型版本说明、训练与验证记录、精度评价结果。</w:t>
            </w:r>
          </w:p>
        </w:tc>
        <w:tc>
          <w:tcPr>
            <w:tcW w:type="dxa" w:w="3120"/>
            <w:vAlign w:val="center"/>
          </w:tcPr>
          <w:p>
            <w:pPr>
              <w:spacing w:after="0"/>
              <w:jc w:val="left"/>
            </w:pPr>
            <w:r/>
            <w:r>
              <w:rPr>
                <w:rFonts w:ascii="Calibri" w:hAnsi="Calibri" w:eastAsia="SimSun"/>
                <w:b w:val="0"/>
                <w:sz w:val="22"/>
              </w:rPr>
              <w:t>模型版本、训练数据范围、评价指标和适用边界记录完整；正向预测误差、容量余量偏差、模型版本对比等指标按双方确认的验收数据集和评价方法形成记录，更新前后模型精度可对比。</w:t>
            </w:r>
          </w:p>
        </w:tc>
      </w:tr>
      <w:tr>
        <w:trPr>
          <w:cantSplit/>
        </w:trPr>
        <w:tc>
          <w:tcPr>
            <w:tcW w:type="dxa" w:w="3120"/>
            <w:vAlign w:val="center"/>
          </w:tcPr>
          <w:p>
            <w:pPr>
              <w:spacing w:after="0"/>
              <w:jc w:val="center"/>
            </w:pPr>
            <w:r>
              <w:rPr>
                <w:rFonts w:ascii="Calibri" w:hAnsi="Calibri" w:eastAsia="SimSun"/>
                <w:sz w:val="22"/>
              </w:rPr>
              <w:t>数据资料</w:t>
            </w:r>
          </w:p>
        </w:tc>
        <w:tc>
          <w:tcPr>
            <w:tcW w:type="dxa" w:w="3120"/>
            <w:vAlign w:val="center"/>
          </w:tcPr>
          <w:p>
            <w:pPr>
              <w:spacing w:after="0"/>
              <w:jc w:val="left"/>
            </w:pPr>
            <w:r>
              <w:rPr>
                <w:rFonts w:ascii="Calibri" w:hAnsi="Calibri" w:eastAsia="SimSun"/>
                <w:sz w:val="22"/>
              </w:rPr>
              <w:t>数据模板、样本库结构说明、字段说明、数据导入导出说明。</w:t>
            </w:r>
          </w:p>
        </w:tc>
        <w:tc>
          <w:tcPr>
            <w:tcW w:type="dxa" w:w="3120"/>
            <w:vAlign w:val="center"/>
          </w:tcPr>
          <w:p>
            <w:pPr>
              <w:spacing w:after="0"/>
              <w:jc w:val="left"/>
            </w:pPr>
            <w:r>
              <w:rPr>
                <w:rFonts w:ascii="Calibri" w:hAnsi="Calibri" w:eastAsia="SimSun"/>
                <w:sz w:val="22"/>
              </w:rPr>
              <w:t>支持甲方提供数据的导入、校验、样本化和结果导出，字段含义清晰，数据处理过程可复核。</w:t>
            </w:r>
          </w:p>
        </w:tc>
      </w:tr>
      <w:tr>
        <w:trPr>
          <w:cantSplit/>
        </w:trPr>
        <w:tc>
          <w:tcPr>
            <w:tcW w:type="dxa" w:w="3120"/>
            <w:vAlign w:val="center"/>
          </w:tcPr>
          <w:p>
            <w:pPr>
              <w:spacing w:after="0"/>
              <w:jc w:val="center"/>
            </w:pPr>
            <w:r>
              <w:rPr>
                <w:rFonts w:ascii="Calibri" w:hAnsi="Calibri" w:eastAsia="SimSun"/>
                <w:sz w:val="22"/>
              </w:rPr>
              <w:t>技术文档</w:t>
            </w:r>
          </w:p>
        </w:tc>
        <w:tc>
          <w:tcPr>
            <w:tcW w:type="dxa" w:w="3120"/>
            <w:vAlign w:val="center"/>
          </w:tcPr>
          <w:p>
            <w:pPr>
              <w:spacing w:after="0"/>
              <w:jc w:val="left"/>
            </w:pPr>
            <w:r>
              <w:rPr>
                <w:rFonts w:ascii="Calibri" w:hAnsi="Calibri" w:eastAsia="SimSun"/>
                <w:sz w:val="22"/>
              </w:rPr>
              <w:t>详细设计方案、操作指导说明书、部署与维护说明、系统研制总结、验收测试报告、问题整改记录。</w:t>
            </w:r>
          </w:p>
        </w:tc>
        <w:tc>
          <w:tcPr>
            <w:tcW w:type="dxa" w:w="3120"/>
            <w:vAlign w:val="center"/>
          </w:tcPr>
          <w:p>
            <w:pPr>
              <w:spacing w:after="0"/>
              <w:jc w:val="left"/>
            </w:pPr>
            <w:r/>
            <w:r>
              <w:rPr>
                <w:rFonts w:ascii="Calibri" w:hAnsi="Calibri" w:eastAsia="SimSun"/>
                <w:b w:val="0"/>
                <w:sz w:val="22"/>
              </w:rPr>
              <w:t>文档内容与实际交付系统一致，能够支撑甲方安装部署、人员培训、验收复核和基础维护；验收测试报告应覆盖功能、性能与稳定性、安全保密和问题整改情况。</w:t>
            </w:r>
          </w:p>
        </w:tc>
      </w:tr>
      <w:tr>
        <w:trPr>
          <w:cantSplit/>
        </w:trPr>
        <w:tc>
          <w:tcPr>
            <w:tcW w:type="dxa" w:w="3120"/>
            <w:vAlign w:val="center"/>
          </w:tcPr>
          <w:p>
            <w:pPr>
              <w:spacing w:after="0"/>
              <w:jc w:val="center"/>
            </w:pPr>
            <w:r/>
            <w:r>
              <w:rPr>
                <w:rFonts w:ascii="Calibri" w:hAnsi="Calibri" w:eastAsia="SimSun"/>
                <w:b w:val="0"/>
                <w:sz w:val="22"/>
              </w:rPr>
              <w:t>授权文件及维护说明</w:t>
            </w:r>
          </w:p>
        </w:tc>
        <w:tc>
          <w:tcPr>
            <w:tcW w:type="dxa" w:w="3120"/>
            <w:vAlign w:val="center"/>
          </w:tcPr>
          <w:p>
            <w:pPr>
              <w:spacing w:after="0"/>
              <w:jc w:val="left"/>
            </w:pPr>
            <w:r/>
            <w:r>
              <w:rPr>
                <w:rFonts w:ascii="Calibri" w:hAnsi="Calibri" w:eastAsia="SimSun"/>
                <w:b w:val="0"/>
                <w:sz w:val="22"/>
              </w:rPr>
              <w:t>授权许可说明、部署配置、必要脚本/接口说明、维护说明。</w:t>
            </w:r>
          </w:p>
        </w:tc>
        <w:tc>
          <w:tcPr>
            <w:tcW w:type="dxa" w:w="3120"/>
            <w:vAlign w:val="center"/>
          </w:tcPr>
          <w:p>
            <w:pPr>
              <w:spacing w:after="0"/>
              <w:jc w:val="left"/>
            </w:pPr>
            <w:r/>
            <w:r>
              <w:rPr>
                <w:rFonts w:ascii="Calibri" w:hAnsi="Calibri" w:eastAsia="SimSun"/>
                <w:b w:val="0"/>
                <w:sz w:val="22"/>
              </w:rPr>
              <w:t>按合同约定交付，满足甲方在授权范围内的部署复现、使用检查和后续维护需要；热电池场景配置、模板、脚本或工具等技术材料的交付范围，以合同及附件清单约定为准。</w:t>
            </w:r>
          </w:p>
        </w:tc>
      </w:tr>
      <w:tr>
        <w:trPr>
          <w:cantSplit/>
        </w:trPr>
        <w:tc>
          <w:tcPr>
            <w:tcW w:type="dxa" w:w="3120"/>
            <w:vAlign w:val="center"/>
          </w:tcPr>
          <w:p>
            <w:pPr>
              <w:spacing w:after="0"/>
              <w:jc w:val="center"/>
            </w:pPr>
            <w:r>
              <w:rPr>
                <w:rFonts w:ascii="Calibri" w:hAnsi="Calibri" w:eastAsia="SimSun"/>
                <w:sz w:val="22"/>
              </w:rPr>
              <w:t>安全保密</w:t>
            </w:r>
          </w:p>
        </w:tc>
        <w:tc>
          <w:tcPr>
            <w:tcW w:type="dxa" w:w="3120"/>
            <w:vAlign w:val="center"/>
          </w:tcPr>
          <w:p>
            <w:pPr>
              <w:spacing w:after="0"/>
              <w:jc w:val="left"/>
            </w:pPr>
            <w:r>
              <w:rPr>
                <w:rFonts w:ascii="Calibri" w:hAnsi="Calibri" w:eastAsia="SimSun"/>
                <w:sz w:val="22"/>
              </w:rPr>
              <w:t>数据、模型、代码、文档及过程资料。</w:t>
            </w:r>
          </w:p>
        </w:tc>
        <w:tc>
          <w:tcPr>
            <w:tcW w:type="dxa" w:w="3120"/>
            <w:vAlign w:val="center"/>
          </w:tcPr>
          <w:p>
            <w:pPr>
              <w:spacing w:after="0"/>
              <w:jc w:val="left"/>
            </w:pPr>
            <w:r>
              <w:t>交付物不得包含未经甲方确认的外传数据或敏感配置；项目资料不得上传互联网或对外提供。</w:t>
            </w:r>
          </w:p>
        </w:tc>
      </w:tr>
      <w:tr>
        <w:trPr>
          <w:cantSplit/>
        </w:trPr>
        <w:tc>
          <w:tcPr>
            <w:tcW w:type="dxa" w:w="3120"/>
            <w:vAlign w:val="center"/>
          </w:tcPr>
          <w:p>
            <w:r>
              <w:t>运行资源费用</w:t>
            </w:r>
          </w:p>
        </w:tc>
        <w:tc>
          <w:tcPr>
            <w:tcW w:type="dxa" w:w="3120"/>
            <w:vAlign w:val="center"/>
          </w:tcPr>
          <w:p>
            <w:r>
              <w:t>云服务器、存储、大模型 Token、算力资源及其他约定付费资源。</w:t>
            </w:r>
          </w:p>
        </w:tc>
        <w:tc>
          <w:tcPr>
            <w:tcW w:type="dxa" w:w="3120"/>
            <w:vAlign w:val="center"/>
          </w:tcPr>
          <w:p>
            <w:r>
              <w:t>相关账号开通、资源租赁和实际消耗费用由甲方按合同约定或实际使用情况承担；因相关资源变更、欠费、限流导致的影响不默认为乙方交付缺陷。</w:t>
            </w:r>
          </w:p>
        </w:tc>
      </w:tr>
    </w:tbl>
    <w:p>
      <w:pPr>
        <w:pStyle w:val="Heading1"/>
      </w:pPr>
      <w:r>
        <w:t>六、验收与培训</w:t>
      </w:r>
    </w:p>
    <w:p>
      <w:pPr>
        <w:pStyle w:val="ListBullet"/>
        <w:spacing w:before="0" w:after="120" w:line="280" w:lineRule="auto"/>
      </w:pPr>
      <w:r>
        <w:rPr>
          <w:rFonts w:ascii="Calibri" w:hAnsi="Calibri" w:eastAsia="SimSun"/>
        </w:rPr>
        <w:t>乙方应按照甲方要求进行软件开发、安装、试运行调试，调试过程针对各技术指标与甲方进行现场确认。</w:t>
      </w:r>
    </w:p>
    <w:p>
      <w:pPr>
        <w:pStyle w:val="ListBullet"/>
        <w:spacing w:before="0" w:after="120" w:line="280" w:lineRule="auto"/>
      </w:pPr>
      <w:r/>
      <w:r>
        <w:rPr>
          <w:rFonts w:ascii="Calibri" w:hAnsi="Calibri" w:eastAsia="SimSun"/>
          <w:b w:val="0"/>
          <w:sz w:val="22"/>
        </w:rPr>
        <w:t>软件经甲方现场调试，具备验收条件，符合本技术协议要求并稳定运行后，软件合格通过验收。验收参考交付指标口径执行：核心功能清单完成率应为 100%，P0 级缺陷修复率应为 100%，性能与稳定性应在双方确认的运行环境、测试数据和验收记录中形成结论。</w:t>
      </w:r>
    </w:p>
    <w:p>
      <w:pPr>
        <w:pStyle w:val="ListBullet"/>
        <w:spacing w:before="0" w:after="120" w:line="280" w:lineRule="auto"/>
      </w:pPr>
      <w:r>
        <w:rPr>
          <w:rFonts w:ascii="Calibri" w:hAnsi="Calibri" w:eastAsia="SimSun"/>
        </w:rPr>
        <w:t>软件通过验收前的开发、安装、调试、问题整改等工作由乙方负责，甲方提供必要协助。</w:t>
      </w:r>
    </w:p>
    <w:p>
      <w:pPr>
        <w:pStyle w:val="ListBullet"/>
        <w:spacing w:before="0" w:after="120" w:line="280" w:lineRule="auto"/>
      </w:pPr>
      <w:r/>
      <w:r>
        <w:rPr>
          <w:rFonts w:ascii="Calibri" w:hAnsi="Calibri" w:eastAsia="SimSun"/>
          <w:b w:val="0"/>
          <w:sz w:val="22"/>
        </w:rPr>
        <w:t>软件具备现场试运行和验收测试条件后，乙方应配合甲方对技术指标和要求进行测试与检查，形成验收记录，并由双方签字确认。</w:t>
      </w:r>
    </w:p>
    <w:p>
      <w:pPr>
        <w:pStyle w:val="ListBullet"/>
        <w:spacing w:before="0" w:after="120" w:line="280" w:lineRule="auto"/>
      </w:pPr>
      <w:r>
        <w:rPr>
          <w:rFonts w:ascii="Calibri" w:hAnsi="Calibri" w:eastAsia="SimSun"/>
        </w:rPr>
        <w:t>乙方应对甲方人员开展一次完整技术培训，内容包括系统使用、数据导入、模型版本选择、预测与反推设计、约束再设计、报告导出和日常维护。</w:t>
      </w:r>
    </w:p>
    <w:tbl>
      <w:tblPr>
        <w:tblStyle w:val="TableGrid"/>
        <w:tblW w:type="auto" w:w="0"/>
        <w:jc w:val="left"/>
        <w:tblLayout w:type="fixed"/>
        <w:tblLook w:firstColumn="1" w:firstRow="1" w:lastColumn="0" w:lastRow="0" w:noHBand="0" w:noVBand="1" w:val="04A0"/>
        <w:tblCellMar>
          <w:top w:w="80" w:type="dxa"/>
          <w:start w:w="120" w:type="dxa"/>
          <w:bottom w:w="80" w:type="dxa"/>
          <w:end w:w="120" w:type="dxa"/>
        </w:tblCellMar>
      </w:tblPr>
      <w:tblGrid>
        <w:gridCol w:w="4680"/>
        <w:gridCol w:w="4680"/>
      </w:tblGrid>
      <w:tr>
        <w:trPr>
          <w:tblHeader w:val="true"/>
          <w:cantSplit/>
        </w:trPr>
        <w:tc>
          <w:tcPr>
            <w:tcW w:type="dxa" w:w="2448"/>
            <w:shd w:fill="F2F4F7"/>
          </w:tcPr>
          <w:p>
            <w:pPr>
              <w:spacing w:before="0" w:after="0" w:line="264" w:lineRule="auto"/>
              <w:jc w:val="center"/>
            </w:pPr>
            <w:r>
              <w:rPr>
                <w:rFonts w:ascii="Calibri" w:hAnsi="Calibri" w:eastAsia="SimSun"/>
                <w:b/>
              </w:rPr>
              <w:t>验收指标</w:t>
            </w:r>
          </w:p>
        </w:tc>
        <w:tc>
          <w:tcPr>
            <w:tcW w:type="dxa" w:w="6912"/>
            <w:shd w:fill="F2F4F7"/>
          </w:tcPr>
          <w:p>
            <w:pPr>
              <w:spacing w:before="0" w:after="0" w:line="264" w:lineRule="auto"/>
              <w:jc w:val="center"/>
            </w:pPr>
            <w:r>
              <w:rPr>
                <w:rFonts w:ascii="Calibri" w:hAnsi="Calibri" w:eastAsia="SimSun"/>
                <w:b/>
              </w:rPr>
              <w:t>验收方法</w:t>
            </w:r>
          </w:p>
        </w:tc>
      </w:tr>
      <w:tr>
        <w:trPr>
          <w:cantSplit/>
        </w:trPr>
        <w:tc>
          <w:tcPr>
            <w:tcW w:type="dxa" w:w="4680"/>
            <w:vAlign w:val="center"/>
          </w:tcPr>
          <w:p>
            <w:pPr>
              <w:spacing w:before="0" w:after="0" w:line="264" w:lineRule="auto"/>
              <w:jc w:val="center"/>
            </w:pPr>
            <w:r>
              <w:rPr>
                <w:rFonts w:ascii="Calibri" w:hAnsi="Calibri" w:eastAsia="SimSun"/>
              </w:rPr>
              <w:t>正向预测误差</w:t>
            </w:r>
          </w:p>
        </w:tc>
        <w:tc>
          <w:tcPr>
            <w:tcW w:type="dxa" w:w="4680"/>
            <w:vAlign w:val="center"/>
          </w:tcPr>
          <w:p>
            <w:pPr>
              <w:spacing w:before="0" w:after="0" w:line="264" w:lineRule="auto"/>
              <w:jc w:val="left"/>
            </w:pPr>
            <w:r>
              <w:rPr>
                <w:rFonts w:ascii="Calibri" w:hAnsi="Calibri" w:eastAsia="SimSun"/>
              </w:rPr>
              <w:t>使用双方确认的验收数据集，评价工作电压-时间曲线、单体内阻-时间曲线及关键点误差。</w:t>
            </w:r>
          </w:p>
        </w:tc>
      </w:tr>
      <w:tr>
        <w:trPr>
          <w:cantSplit/>
        </w:trPr>
        <w:tc>
          <w:tcPr>
            <w:tcW w:type="dxa" w:w="4680"/>
            <w:vAlign w:val="center"/>
          </w:tcPr>
          <w:p>
            <w:pPr>
              <w:spacing w:before="0" w:after="0" w:line="264" w:lineRule="auto"/>
              <w:jc w:val="center"/>
            </w:pPr>
            <w:r>
              <w:rPr>
                <w:rFonts w:ascii="Calibri" w:hAnsi="Calibri" w:eastAsia="SimSun"/>
              </w:rPr>
              <w:t>反推设计唯一性</w:t>
            </w:r>
          </w:p>
        </w:tc>
        <w:tc>
          <w:tcPr>
            <w:tcW w:type="dxa" w:w="4680"/>
            <w:vAlign w:val="center"/>
          </w:tcPr>
          <w:p>
            <w:pPr>
              <w:spacing w:before="0" w:after="0" w:line="264" w:lineRule="auto"/>
              <w:jc w:val="left"/>
            </w:pPr>
            <w:r>
              <w:rPr>
                <w:rFonts w:ascii="Calibri" w:hAnsi="Calibri" w:eastAsia="SimSun"/>
              </w:rPr>
              <w:t>固定模型版本和相同输入重复运行，检查输出设计是否一致。</w:t>
            </w:r>
          </w:p>
        </w:tc>
      </w:tr>
      <w:tr>
        <w:trPr>
          <w:cantSplit/>
        </w:trPr>
        <w:tc>
          <w:tcPr>
            <w:tcW w:type="dxa" w:w="4680"/>
            <w:vAlign w:val="center"/>
          </w:tcPr>
          <w:p>
            <w:pPr>
              <w:spacing w:before="0" w:after="0" w:line="264" w:lineRule="auto"/>
              <w:jc w:val="center"/>
            </w:pPr>
            <w:r>
              <w:rPr>
                <w:rFonts w:ascii="Calibri" w:hAnsi="Calibri" w:eastAsia="SimSun"/>
              </w:rPr>
              <w:t>容量余量</w:t>
            </w:r>
          </w:p>
        </w:tc>
        <w:tc>
          <w:tcPr>
            <w:tcW w:type="dxa" w:w="4680"/>
            <w:vAlign w:val="center"/>
          </w:tcPr>
          <w:p>
            <w:pPr>
              <w:spacing w:before="0" w:after="0" w:line="264" w:lineRule="auto"/>
              <w:jc w:val="left"/>
            </w:pPr>
            <w:r>
              <w:rPr>
                <w:rFonts w:ascii="Calibri" w:hAnsi="Calibri" w:eastAsia="SimSun"/>
              </w:rPr>
              <w:t>对照试制或实测结果，检查实际容量余量与设计容量余量差异是否满足约定目标。</w:t>
            </w:r>
          </w:p>
        </w:tc>
      </w:tr>
      <w:tr>
        <w:trPr>
          <w:cantSplit/>
        </w:trPr>
        <w:tc>
          <w:tcPr>
            <w:tcW w:type="dxa" w:w="4680"/>
            <w:vAlign w:val="center"/>
          </w:tcPr>
          <w:p>
            <w:pPr>
              <w:spacing w:before="0" w:after="0" w:line="264" w:lineRule="auto"/>
              <w:jc w:val="center"/>
            </w:pPr>
            <w:r>
              <w:rPr>
                <w:rFonts w:ascii="Calibri" w:hAnsi="Calibri" w:eastAsia="SimSun"/>
              </w:rPr>
              <w:t>约束再设计</w:t>
            </w:r>
          </w:p>
        </w:tc>
        <w:tc>
          <w:tcPr>
            <w:tcW w:type="dxa" w:w="4680"/>
            <w:vAlign w:val="center"/>
          </w:tcPr>
          <w:p>
            <w:pPr>
              <w:spacing w:before="0" w:after="0" w:line="264" w:lineRule="auto"/>
              <w:jc w:val="left"/>
            </w:pPr>
            <w:r>
              <w:rPr>
                <w:rFonts w:ascii="Calibri" w:hAnsi="Calibri" w:eastAsia="SimSun"/>
              </w:rPr>
              <w:t>设置外形、重量、工艺等约束，检查系统是否输出更新方案及差异说明。</w:t>
            </w:r>
          </w:p>
        </w:tc>
      </w:tr>
      <w:tr>
        <w:trPr>
          <w:cantSplit/>
        </w:trPr>
        <w:tc>
          <w:tcPr>
            <w:tcW w:type="dxa" w:w="4680"/>
            <w:vAlign w:val="center"/>
          </w:tcPr>
          <w:p>
            <w:pPr>
              <w:spacing w:before="0" w:after="0" w:line="264" w:lineRule="auto"/>
              <w:jc w:val="center"/>
            </w:pPr>
            <w:r>
              <w:rPr>
                <w:rFonts w:ascii="Calibri" w:hAnsi="Calibri" w:eastAsia="SimSun"/>
              </w:rPr>
              <w:t>模型更新</w:t>
            </w:r>
          </w:p>
        </w:tc>
        <w:tc>
          <w:tcPr>
            <w:tcW w:type="dxa" w:w="4680"/>
            <w:vAlign w:val="center"/>
          </w:tcPr>
          <w:p>
            <w:pPr>
              <w:spacing w:before="0" w:after="0" w:line="264" w:lineRule="auto"/>
              <w:jc w:val="left"/>
            </w:pPr>
            <w:r>
              <w:rPr>
                <w:rFonts w:ascii="Calibri" w:hAnsi="Calibri" w:eastAsia="SimSun"/>
              </w:rPr>
              <w:t>导入新增数据，检查模型版本留存、精度评价和版本对比。</w:t>
            </w:r>
          </w:p>
        </w:tc>
      </w:tr>
      <w:tr>
        <w:trPr>
          <w:cantSplit/>
        </w:trPr>
        <w:tc>
          <w:tcPr>
            <w:tcW w:type="dxa" w:w="4680"/>
            <w:vAlign w:val="center"/>
          </w:tcPr>
          <w:p>
            <w:pPr>
              <w:spacing w:before="0" w:after="0" w:line="264" w:lineRule="auto"/>
              <w:jc w:val="center"/>
            </w:pPr>
            <w:r>
              <w:rPr>
                <w:rFonts w:ascii="Calibri" w:hAnsi="Calibri" w:eastAsia="SimSun"/>
              </w:rPr>
              <w:t>结构模型</w:t>
            </w:r>
          </w:p>
        </w:tc>
        <w:tc>
          <w:tcPr>
            <w:tcW w:type="dxa" w:w="4680"/>
            <w:vAlign w:val="center"/>
          </w:tcPr>
          <w:p>
            <w:pPr>
              <w:spacing w:before="0" w:after="0" w:line="264" w:lineRule="auto"/>
              <w:jc w:val="left"/>
            </w:pPr>
            <w:r>
              <w:rPr>
                <w:rFonts w:ascii="Calibri" w:hAnsi="Calibri" w:eastAsia="SimSun"/>
              </w:rPr>
              <w:t>输入力学环境条件，检查结构设计参数输出及追溯信息。</w:t>
            </w:r>
          </w:p>
        </w:tc>
      </w:tr>
      <w:tr>
        <w:trPr>
          <w:cantSplit/>
        </w:trPr>
        <w:tc>
          <w:tcPr>
            <w:tcW w:type="dxa" w:w="4680"/>
            <w:vAlign w:val="center"/>
          </w:tcPr>
          <w:p>
            <w:pPr>
              <w:spacing w:before="0" w:after="0" w:line="264" w:lineRule="auto"/>
              <w:jc w:val="center"/>
            </w:pPr>
            <w:r>
              <w:rPr>
                <w:rFonts w:ascii="Calibri" w:hAnsi="Calibri" w:eastAsia="SimSun"/>
              </w:rPr>
              <w:t>报告输出</w:t>
            </w:r>
          </w:p>
        </w:tc>
        <w:tc>
          <w:tcPr>
            <w:tcW w:type="dxa" w:w="4680"/>
            <w:vAlign w:val="center"/>
          </w:tcPr>
          <w:p>
            <w:pPr>
              <w:spacing w:before="0" w:after="0" w:line="264" w:lineRule="auto"/>
              <w:jc w:val="left"/>
            </w:pPr>
            <w:r>
              <w:rPr>
                <w:rFonts w:ascii="Calibri" w:hAnsi="Calibri" w:eastAsia="SimSun"/>
              </w:rPr>
              <w:t>检查报告模板、字段完整性、模型版本记录和导出文件。</w:t>
            </w:r>
          </w:p>
        </w:tc>
      </w:tr>
    </w:tbl>
    <w:p/>
    <w:p>
      <w:pPr>
        <w:pStyle w:val="Heading1"/>
      </w:pPr>
      <w:r>
        <w:t>七、技术服务</w:t>
      </w:r>
    </w:p>
    <w:p>
      <w:pPr>
        <w:pStyle w:val="Heading2"/>
      </w:pPr>
      <w:r>
        <w:t>7.1 培训服务</w:t>
      </w:r>
    </w:p>
    <w:p>
      <w:pPr>
        <w:spacing w:before="0" w:after="120" w:line="264" w:lineRule="auto"/>
      </w:pPr>
      <w:r>
        <w:rPr>
          <w:rFonts w:ascii="Calibri" w:hAnsi="Calibri" w:eastAsia="SimSun"/>
        </w:rPr>
        <w:t>乙方应安排对甲方人员进行完整技术培训，培训地点为软件安装地或甲方指定地点，培训时间和人员由甲方指定，培训费用由乙方承担。</w:t>
      </w:r>
    </w:p>
    <w:p>
      <w:pPr>
        <w:pStyle w:val="Heading2"/>
      </w:pPr>
      <w:r>
        <w:t>7.2 售后服务及技术支持</w:t>
      </w:r>
    </w:p>
    <w:p>
      <w:pPr>
        <w:pStyle w:val="ListBullet"/>
        <w:spacing w:before="0" w:after="120" w:line="280" w:lineRule="auto"/>
      </w:pPr>
      <w:r>
        <w:rPr>
          <w:rFonts w:ascii="Calibri" w:hAnsi="Calibri" w:eastAsia="SimSun"/>
        </w:rPr>
        <w:t>乙方应提供专门的技术支持联系人和联系方式，如有变动应及时通知甲方。</w:t>
      </w:r>
    </w:p>
    <w:p>
      <w:pPr>
        <w:pStyle w:val="ListBullet"/>
        <w:spacing w:before="0" w:after="120" w:line="280" w:lineRule="auto"/>
      </w:pPr>
      <w:r>
        <w:rPr>
          <w:rFonts w:ascii="Calibri" w:hAnsi="Calibri" w:eastAsia="SimSun"/>
        </w:rPr>
        <w:t>软件出现系统崩溃、系统 Bug、模型调用异常、数据导入异常或影响正常使用的问题时，乙方应按合同约定响应并处理。</w:t>
      </w:r>
    </w:p>
    <w:p>
      <w:pPr>
        <w:pStyle w:val="ListBullet"/>
        <w:spacing w:before="0" w:after="120" w:line="280" w:lineRule="auto"/>
      </w:pPr>
      <w:r>
        <w:rPr>
          <w:rFonts w:ascii="Calibri" w:hAnsi="Calibri" w:eastAsia="SimSun"/>
        </w:rPr>
        <w:t>乙方应向甲方提供可持久使用的软件介质和必要部署文件，软件授权、安装次数和使用范围按合同约定执行。</w:t>
      </w:r>
    </w:p>
    <w:p>
      <w:pPr>
        <w:pStyle w:val="ListBullet"/>
        <w:spacing w:before="0" w:after="120" w:line="280" w:lineRule="auto"/>
      </w:pPr>
      <w:r>
        <w:rPr>
          <w:rFonts w:ascii="Calibri" w:hAnsi="Calibri" w:eastAsia="SimSun"/>
        </w:rPr>
        <w:t>必要时，乙方应提供人员在甲方现场进行软件部署、优化和问题处理。</w:t>
      </w:r>
    </w:p>
    <w:p>
      <w:pPr>
        <w:pStyle w:val="ListBullet"/>
        <w:spacing w:before="0" w:after="120" w:line="280" w:lineRule="auto"/>
      </w:pPr>
      <w:r/>
      <w:r>
        <w:rPr>
          <w:rFonts w:ascii="Calibri" w:hAnsi="Calibri" w:eastAsia="SimSun"/>
          <w:b w:val="0"/>
          <w:sz w:val="22"/>
        </w:rPr>
        <w:t>乙方应提供授权文件、部署配置、必要脚本/接口说明和维护说明，方便甲方在授权范围内使用和基础维护；热电池场景配置、模板、脚本或工具等技术材料的交付范围，以合同及附件清单约定为准。</w:t>
      </w:r>
    </w:p>
    <w:p>
      <w:pPr>
        <w:pStyle w:val="Heading2"/>
      </w:pPr>
      <w:r>
        <w:t>7.3 保密要求</w:t>
      </w:r>
    </w:p>
    <w:p>
      <w:pPr>
        <w:spacing w:before="0" w:after="120" w:line="264" w:lineRule="auto"/>
      </w:pPr>
      <w:r>
        <w:t>乙方对甲方提供的基础代码、内部材料、热电池设计参数、放电数据、试验曲线、模型文件和项目资料承担保密义务。未经甲方书面同意，乙方不得将相关信息上传至互联网，不得对外传递，不得用于本项目以外用途。</w:t>
      </w:r>
    </w:p>
    <w:p>
      <w:pPr>
        <w:pStyle w:val="Heading1"/>
      </w:pPr>
      <w:r>
        <w:t>八、签署</w:t>
      </w:r>
    </w:p>
    <w:p>
      <w:pPr>
        <w:spacing w:before="0" w:after="120" w:line="264" w:lineRule="auto"/>
      </w:pPr>
      <w:r>
        <w:rPr>
          <w:rFonts w:ascii="Calibri" w:hAnsi="Calibri" w:eastAsia="SimSun"/>
        </w:rPr>
        <w:t>本技术协议作为合同技术附件，与合同具有同等技术约束效力。未尽事项由甲乙双方协商确定。</w:t>
      </w:r>
    </w:p>
    <w:p/>
    <w:tbl>
      <w:tblPr>
        <w:tblStyle w:val="TableGrid"/>
        <w:tblW w:type="auto" w:w="0"/>
        <w:jc w:val="left"/>
        <w:tblLayout w:type="fixed"/>
        <w:tblLook w:firstColumn="1" w:firstRow="1" w:lastColumn="0" w:lastRow="0" w:noHBand="0" w:noVBand="1" w:val="04A0"/>
        <w:tblCellMar>
          <w:top w:w="80" w:type="dxa"/>
          <w:start w:w="120" w:type="dxa"/>
          <w:bottom w:w="80" w:type="dxa"/>
          <w:end w:w="120" w:type="dxa"/>
        </w:tblCellMar>
      </w:tblPr>
      <w:tblGrid>
        <w:gridCol w:w="4680"/>
        <w:gridCol w:w="4680"/>
      </w:tblGrid>
      <w:tr>
        <w:trPr>
          <w:tblHeader w:val="true"/>
          <w:cantSplit/>
        </w:trPr>
        <w:tc>
          <w:tcPr>
            <w:tcW w:type="dxa" w:w="4680"/>
            <w:shd w:fill="F2F4F7"/>
          </w:tcPr>
          <w:p>
            <w:pPr>
              <w:spacing w:before="0" w:after="0" w:line="264" w:lineRule="auto"/>
              <w:jc w:val="center"/>
            </w:pPr>
            <w:r>
              <w:rPr>
                <w:rFonts w:ascii="Calibri" w:hAnsi="Calibri" w:eastAsia="SimSun"/>
                <w:b/>
              </w:rPr>
              <w:t>甲方</w:t>
            </w:r>
          </w:p>
        </w:tc>
        <w:tc>
          <w:tcPr>
            <w:tcW w:type="dxa" w:w="4680"/>
            <w:shd w:fill="F2F4F7"/>
          </w:tcPr>
          <w:p>
            <w:pPr>
              <w:spacing w:before="0" w:after="0" w:line="264" w:lineRule="auto"/>
              <w:jc w:val="center"/>
            </w:pPr>
            <w:r>
              <w:rPr>
                <w:rFonts w:ascii="Calibri" w:hAnsi="Calibri" w:eastAsia="SimSun"/>
                <w:b/>
              </w:rPr>
              <w:t>乙方</w:t>
            </w:r>
          </w:p>
        </w:tc>
      </w:tr>
      <w:tr>
        <w:trPr>
          <w:cantSplit/>
        </w:trPr>
        <w:tc>
          <w:tcPr>
            <w:tcW w:type="dxa" w:w="4680"/>
            <w:vAlign w:val="center"/>
          </w:tcPr>
          <w:p>
            <w:pPr>
              <w:spacing w:before="0" w:after="0" w:line="264" w:lineRule="auto"/>
              <w:jc w:val="center"/>
            </w:pPr>
            <w:r>
              <w:rPr>
                <w:rFonts w:ascii="Calibri" w:hAnsi="Calibri" w:eastAsia="SimSun"/>
              </w:rPr>
              <w:t>上海空间电源研究所（以最终签约主体为准）</w:t>
            </w:r>
          </w:p>
        </w:tc>
        <w:tc>
          <w:tcPr>
            <w:tcW w:type="dxa" w:w="4680"/>
            <w:vAlign w:val="center"/>
          </w:tcPr>
          <w:p>
            <w:pPr>
              <w:spacing w:before="0" w:after="0" w:line="264" w:lineRule="auto"/>
              <w:jc w:val="left"/>
            </w:pPr>
            <w:r>
              <w:rPr>
                <w:rFonts w:ascii="Calibri" w:hAnsi="Calibri" w:eastAsia="SimSun"/>
              </w:rPr>
              <w:t>【待确认】</w:t>
            </w:r>
          </w:p>
        </w:tc>
      </w:tr>
      <w:tr>
        <w:trPr>
          <w:cantSplit/>
        </w:trPr>
        <w:tc>
          <w:tcPr>
            <w:tcW w:type="dxa" w:w="4680"/>
            <w:vAlign w:val="center"/>
          </w:tcPr>
          <w:p>
            <w:pPr>
              <w:spacing w:before="0" w:after="0" w:line="264" w:lineRule="auto"/>
              <w:jc w:val="center"/>
            </w:pPr>
            <w:r>
              <w:rPr>
                <w:rFonts w:ascii="Calibri" w:hAnsi="Calibri" w:eastAsia="SimSun"/>
              </w:rPr>
              <w:t>代表签字：</w:t>
            </w:r>
          </w:p>
        </w:tc>
        <w:tc>
          <w:tcPr>
            <w:tcW w:type="dxa" w:w="4680"/>
            <w:vAlign w:val="center"/>
          </w:tcPr>
          <w:p>
            <w:pPr>
              <w:spacing w:before="0" w:after="0" w:line="264" w:lineRule="auto"/>
              <w:jc w:val="left"/>
            </w:pPr>
            <w:r>
              <w:rPr>
                <w:rFonts w:ascii="Calibri" w:hAnsi="Calibri" w:eastAsia="SimSun"/>
              </w:rPr>
              <w:t>代表签字：</w:t>
            </w:r>
          </w:p>
        </w:tc>
      </w:tr>
      <w:tr>
        <w:trPr>
          <w:cantSplit/>
        </w:trPr>
        <w:tc>
          <w:tcPr>
            <w:tcW w:type="dxa" w:w="4680"/>
            <w:vAlign w:val="center"/>
          </w:tcPr>
          <w:p>
            <w:pPr>
              <w:spacing w:before="0" w:after="0" w:line="264" w:lineRule="auto"/>
              <w:jc w:val="center"/>
            </w:pPr>
            <w:r>
              <w:rPr>
                <w:rFonts w:ascii="Calibri" w:hAnsi="Calibri" w:eastAsia="SimSun"/>
              </w:rPr>
              <w:t>日期：</w:t>
            </w:r>
          </w:p>
        </w:tc>
        <w:tc>
          <w:tcPr>
            <w:tcW w:type="dxa" w:w="4680"/>
            <w:vAlign w:val="center"/>
          </w:tcPr>
          <w:p>
            <w:pPr>
              <w:spacing w:before="0" w:after="0" w:line="264" w:lineRule="auto"/>
              <w:jc w:val="left"/>
            </w:pPr>
            <w:r>
              <w:rPr>
                <w:rFonts w:ascii="Calibri" w:hAnsi="Calibri" w:eastAsia="SimSun"/>
              </w:rPr>
              <w:t>日期：</w:t>
            </w:r>
          </w:p>
        </w:tc>
      </w:tr>
    </w:tbl>
    <w:p/>
    <w:p>
      <w:pPr>
        <w:pStyle w:val="Heading1"/>
      </w:pPr>
      <w:r>
        <w:t>附录1 输入、输出字段</w:t>
      </w:r>
    </w:p>
    <w:tbl>
      <w:tblPr>
        <w:tblStyle w:val="TableGrid"/>
        <w:tblW w:type="auto" w:w="0"/>
        <w:jc w:val="left"/>
        <w:tblLayout w:type="fixed"/>
        <w:tblLook w:firstColumn="1" w:firstRow="1" w:lastColumn="0" w:lastRow="0" w:noHBand="0" w:noVBand="1" w:val="04A0"/>
        <w:tblCellMar>
          <w:top w:w="80" w:type="dxa"/>
          <w:start w:w="120" w:type="dxa"/>
          <w:bottom w:w="80" w:type="dxa"/>
          <w:end w:w="120" w:type="dxa"/>
        </w:tblCellMar>
      </w:tblPr>
      <w:tblGrid>
        <w:gridCol w:w="4680"/>
        <w:gridCol w:w="4680"/>
      </w:tblGrid>
      <w:tr>
        <w:trPr>
          <w:tblHeader w:val="true"/>
          <w:cantSplit/>
        </w:trPr>
        <w:tc>
          <w:tcPr>
            <w:tcW w:type="dxa" w:w="2448"/>
            <w:shd w:fill="F2F4F7"/>
          </w:tcPr>
          <w:p>
            <w:pPr>
              <w:spacing w:before="0" w:after="0" w:line="264" w:lineRule="auto"/>
              <w:jc w:val="center"/>
            </w:pPr>
            <w:r>
              <w:rPr>
                <w:rFonts w:ascii="Calibri" w:hAnsi="Calibri" w:eastAsia="SimSun"/>
                <w:b/>
              </w:rPr>
              <w:t>类型</w:t>
            </w:r>
          </w:p>
        </w:tc>
        <w:tc>
          <w:tcPr>
            <w:tcW w:type="dxa" w:w="6912"/>
            <w:shd w:fill="F2F4F7"/>
          </w:tcPr>
          <w:p>
            <w:pPr>
              <w:spacing w:before="0" w:after="0" w:line="264" w:lineRule="auto"/>
              <w:jc w:val="center"/>
            </w:pPr>
            <w:r>
              <w:rPr>
                <w:rFonts w:ascii="Calibri" w:hAnsi="Calibri" w:eastAsia="SimSun"/>
                <w:b/>
              </w:rPr>
              <w:t>字段</w:t>
            </w:r>
          </w:p>
        </w:tc>
      </w:tr>
      <w:tr>
        <w:trPr>
          <w:cantSplit/>
        </w:trPr>
        <w:tc>
          <w:tcPr>
            <w:tcW w:type="dxa" w:w="4680"/>
            <w:vAlign w:val="center"/>
          </w:tcPr>
          <w:p>
            <w:pPr>
              <w:spacing w:before="0" w:after="0" w:line="264" w:lineRule="auto"/>
              <w:jc w:val="center"/>
            </w:pPr>
            <w:r>
              <w:rPr>
                <w:rFonts w:ascii="Calibri" w:hAnsi="Calibri" w:eastAsia="SimSun"/>
              </w:rPr>
              <w:t>技术指标输入字段</w:t>
            </w:r>
          </w:p>
        </w:tc>
        <w:tc>
          <w:tcPr>
            <w:tcW w:type="dxa" w:w="4680"/>
            <w:vAlign w:val="center"/>
          </w:tcPr>
          <w:p>
            <w:pPr>
              <w:spacing w:before="0" w:after="0" w:line="264" w:lineRule="auto"/>
              <w:jc w:val="left"/>
            </w:pPr>
            <w:r>
              <w:rPr>
                <w:rFonts w:ascii="Calibri" w:hAnsi="Calibri" w:eastAsia="SimSun"/>
              </w:rPr>
              <w:t>满载工作电压范围；空载工作电压上限；脉冲电压下限；工作负载程序（工作电流-时间序列或功率-时间序列）；工作温度范围；激活时间；振动量级</w:t>
            </w:r>
          </w:p>
        </w:tc>
      </w:tr>
      <w:tr>
        <w:trPr>
          <w:cantSplit/>
        </w:trPr>
        <w:tc>
          <w:tcPr>
            <w:tcW w:type="dxa" w:w="4680"/>
            <w:vAlign w:val="center"/>
          </w:tcPr>
          <w:p>
            <w:pPr>
              <w:spacing w:before="0" w:after="0" w:line="264" w:lineRule="auto"/>
              <w:jc w:val="center"/>
            </w:pPr>
            <w:r>
              <w:rPr>
                <w:rFonts w:ascii="Calibri" w:hAnsi="Calibri" w:eastAsia="SimSun"/>
              </w:rPr>
              <w:t>主要输出字段</w:t>
            </w:r>
          </w:p>
        </w:tc>
        <w:tc>
          <w:tcPr>
            <w:tcW w:type="dxa" w:w="4680"/>
            <w:vAlign w:val="center"/>
          </w:tcPr>
          <w:p>
            <w:pPr>
              <w:spacing w:before="0" w:after="0" w:line="264" w:lineRule="auto"/>
              <w:jc w:val="left"/>
            </w:pPr>
            <w:r>
              <w:rPr>
                <w:rFonts w:ascii="Calibri" w:hAnsi="Calibri" w:eastAsia="SimSun"/>
              </w:rPr>
              <w:t>单元电池：重量、外形尺寸；单体电池：重量、外形尺寸、成型工艺；单体加热：材料种类、重量、厚度、热比；正极：材料种类、重量、厚度、正负极比；隔离材料：材料种类、重量、厚度、面密度；负极：材料种类、重量、厚度、容量裕度；集流片：材料种类、厚度；引流条：宽度、数量；单体组合：单体串联数、单体并联数；端加热：端加热I、端加热II重量、厚度和数量；热缓冲材料：材料种类、重量、厚度和数量；电堆：石棉垫数量、紧固结构、紧固条材料/宽度/厚度、固定板厚度、紧固压力、重量、高度、调节片数量；引燃条：种类、数量；电池盖：厚度、盖下石棉垫数量；电池壳/电池盖：材料种类、电池壳加工方式、壳体厚度、壳底厚度；保温层：电池壳侧面保温层材料/厚度、电池壳底部保温层材料/厚度</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SimSun"/>
        <w:color w:val="595959"/>
        <w:sz w:val="18"/>
      </w:rPr>
      <w:t xml:space="preserve">第 </w:t>
      <w:fldChar w:fldCharType="begin"/>
      <w:instrText xml:space="preserve">PAGE</w:instrText>
      <w:fldChar w:fldCharType="end"/>
    </w:r>
    <w:r>
      <w:rPr>
        <w:rFonts w:ascii="Calibri" w:hAnsi="Calibri" w:eastAsia="SimSun"/>
        <w:color w:val="59595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SimSun"/>
        <w:color w:val="595959"/>
        <w:sz w:val="18"/>
      </w:rPr>
      <w:t>技术协议</w:t>
    </w:r>
    <w:r>
      <w:rPr>
        <w:rFonts w:ascii="Calibri" w:hAnsi="Calibri" w:eastAsia="SimSun"/>
        <w:color w:val="595959"/>
        <w:sz w:val="18"/>
      </w:rPr>
      <w:t xml:space="preserve">    热电池智能设计与验证平台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SimSu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SimSu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SimSu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80" w:lineRule="auto"/>
      <w:contextualSpacing/>
    </w:pPr>
    <w:rPr>
      <w:rFonts w:ascii="SimSun" w:hAnsi="SimSun" w:eastAsia="SimSu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contextualSpacing/>
    </w:pPr>
    <w:rPr>
      <w:rFonts w:ascii="SimSun" w:hAnsi="SimSun" w:eastAsia="SimSu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