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904BE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上海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冰美肌美容科</w:t>
      </w:r>
      <w:r>
        <w:rPr>
          <w:rFonts w:hint="eastAsia" w:ascii="微软雅黑" w:hAnsi="微软雅黑" w:eastAsia="微软雅黑" w:cs="微软雅黑"/>
          <w:sz w:val="21"/>
          <w:szCs w:val="21"/>
        </w:rPr>
        <w:t>技有限公司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销售佣金提成管理制度</w:t>
      </w:r>
    </w:p>
    <w:p w14:paraId="641634A5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第一章 制度目的</w:t>
      </w:r>
    </w:p>
    <w:p w14:paraId="3BC4F9E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为规范冰美肌MJ6产品销售过程中的设备销售佣金、耗材销售激励、内部销售提成及渠道合作费用管理，防止商业贿赂、虚假业绩、佣金套利、利益输送等行为，保障公司、客户及合作伙伴合法权益，制定本制度。</w:t>
      </w:r>
    </w:p>
    <w:p w14:paraId="04C679ED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第二章 适用范围</w:t>
      </w:r>
    </w:p>
    <w:p w14:paraId="024D4BA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本制度适用于参与公司MJ6产品销售、推广及客户拓展相关工作的个人及组织，包括：</w:t>
      </w:r>
    </w:p>
    <w:p w14:paraId="28AC808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（一）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外部</w:t>
      </w:r>
      <w:r>
        <w:rPr>
          <w:rFonts w:hint="eastAsia" w:ascii="微软雅黑" w:hAnsi="微软雅黑" w:eastAsia="微软雅黑" w:cs="微软雅黑"/>
          <w:sz w:val="21"/>
          <w:szCs w:val="21"/>
        </w:rPr>
        <w:t>合作方</w:t>
      </w:r>
    </w:p>
    <w:p w14:paraId="7B4CF96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外部合作方不限于个人或公司主体，包括但不限于：个人销售顾问；行业资源合作伙伴；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美容</w:t>
      </w:r>
      <w:r>
        <w:rPr>
          <w:rFonts w:hint="eastAsia" w:ascii="微软雅黑" w:hAnsi="微软雅黑" w:eastAsia="微软雅黑" w:cs="微软雅黑"/>
          <w:sz w:val="21"/>
          <w:szCs w:val="21"/>
        </w:rPr>
        <w:t>机构推荐合作方；渠道代理商、经销商；市场推广服务机构；其他经公司认可并备案的业务合作主体。</w:t>
      </w:r>
    </w:p>
    <w:p w14:paraId="1D1E93E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外部合作方须基于真实业务贡献获取佣金，公司禁止任何无真实业务贡献的挂名合作、利益输送或佣金套利行为。</w:t>
      </w:r>
    </w:p>
    <w:p w14:paraId="34AD33E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（二）内部销售提成人员</w:t>
      </w:r>
    </w:p>
    <w:p w14:paraId="5074ED2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内部销售提成适用于公司全体员工。</w:t>
      </w:r>
    </w:p>
    <w:p w14:paraId="52F435E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特别地，</w:t>
      </w:r>
      <w:r>
        <w:rPr>
          <w:rFonts w:hint="eastAsia" w:ascii="微软雅黑" w:hAnsi="微软雅黑" w:eastAsia="微软雅黑" w:cs="微软雅黑"/>
          <w:sz w:val="21"/>
          <w:szCs w:val="21"/>
        </w:rPr>
        <w:t>以下人员如参与客户资源引荐或业务支持，不享受销售提成：</w:t>
      </w:r>
    </w:p>
    <w:p w14:paraId="699E41EF">
      <w:pPr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公司股东；</w:t>
      </w:r>
    </w:p>
    <w:p w14:paraId="3986339F">
      <w:pPr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董事、监事；</w:t>
      </w:r>
    </w:p>
    <w:p w14:paraId="5F02C447">
      <w:pPr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已通过投资收益方式参与公司利润分配的相关人员。</w:t>
      </w:r>
    </w:p>
    <w:p w14:paraId="123665A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员工可基于以下实际贡献获得销售提成：</w:t>
      </w:r>
    </w:p>
    <w:p w14:paraId="0334EDD0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独立开发客户资源；</w:t>
      </w:r>
    </w:p>
    <w:p w14:paraId="2CF2E1A3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推荐有效商业机会；</w:t>
      </w:r>
    </w:p>
    <w:p w14:paraId="3E7069E2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协助推进客户成交；</w:t>
      </w:r>
    </w:p>
    <w:p w14:paraId="26501783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参与商务谈判、项目落地；</w:t>
      </w:r>
    </w:p>
    <w:p w14:paraId="793B4AAB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完成公司认可的销售支持工作。</w:t>
      </w:r>
    </w:p>
    <w:p w14:paraId="63A2C49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内部员工销售提成按照公司销售提成政策及贡献认定规则执行。</w:t>
      </w:r>
    </w:p>
    <w:p w14:paraId="23AE4A4C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31041F98">
      <w:pPr>
        <w:pStyle w:val="3"/>
        <w:numPr>
          <w:ilvl w:val="0"/>
          <w:numId w:val="9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销售激励体系合规原则</w:t>
      </w:r>
    </w:p>
    <w:p w14:paraId="08B022D7">
      <w:pPr>
        <w:numPr>
          <w:ilvl w:val="0"/>
          <w:numId w:val="0"/>
        </w:numPr>
        <w:rPr>
          <w:rFonts w:hint="eastAsia"/>
        </w:rPr>
      </w:pPr>
    </w:p>
    <w:p w14:paraId="0835906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公司建立“外部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合作</w:t>
      </w:r>
      <w:r>
        <w:rPr>
          <w:rFonts w:hint="eastAsia" w:ascii="微软雅黑" w:hAnsi="微软雅黑" w:eastAsia="微软雅黑" w:cs="微软雅黑"/>
          <w:sz w:val="21"/>
          <w:szCs w:val="21"/>
        </w:rPr>
        <w:t>佣金+内部员工提成”的双激励体系：</w:t>
      </w:r>
    </w:p>
    <w:p w14:paraId="011CD96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（一）外部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合作方</w:t>
      </w:r>
      <w:r>
        <w:rPr>
          <w:rFonts w:hint="eastAsia" w:ascii="微软雅黑" w:hAnsi="微软雅黑" w:eastAsia="微软雅黑" w:cs="微软雅黑"/>
          <w:sz w:val="21"/>
          <w:szCs w:val="21"/>
        </w:rPr>
        <w:t>佣金原则</w:t>
      </w:r>
    </w:p>
    <w:p w14:paraId="11934EB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外部合作方佣金基于“真实客户来源 + 实际业务贡献 + 合规审批”原则执行。</w:t>
      </w:r>
    </w:p>
    <w:p w14:paraId="4564EB3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禁止：</w:t>
      </w:r>
    </w:p>
    <w:p w14:paraId="7A7E6FF4">
      <w:pPr>
        <w:numPr>
          <w:ilvl w:val="0"/>
          <w:numId w:val="10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虚构合作主体领取佣金；</w:t>
      </w:r>
    </w:p>
    <w:p w14:paraId="7F5D4611">
      <w:pPr>
        <w:numPr>
          <w:ilvl w:val="0"/>
          <w:numId w:val="10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员工借外部合作方身份套取佣金；</w:t>
      </w:r>
    </w:p>
    <w:p w14:paraId="1C53EE80">
      <w:pPr>
        <w:numPr>
          <w:ilvl w:val="0"/>
          <w:numId w:val="10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外部合作方无实际贡献获取佣金；</w:t>
      </w:r>
    </w:p>
    <w:p w14:paraId="3F834DF7">
      <w:pPr>
        <w:numPr>
          <w:ilvl w:val="0"/>
          <w:numId w:val="10"/>
        </w:numPr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外部合作方与内部员工私下利益分成。</w:t>
      </w:r>
    </w:p>
    <w:p w14:paraId="6E77AA86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7AEA80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（二）内部提成原则</w:t>
      </w:r>
    </w:p>
    <w:p w14:paraId="40930EB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内部员工销售提成遵循“全员参与、贡献导向、结果激励”原则。</w:t>
      </w:r>
    </w:p>
    <w:p w14:paraId="3D879BF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但必须满足：</w:t>
      </w:r>
    </w:p>
    <w:p w14:paraId="178B3D9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1"/>
          <w:szCs w:val="21"/>
        </w:rPr>
        <w:t>客户来源真实；</w:t>
      </w:r>
    </w:p>
    <w:p w14:paraId="5689B87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1"/>
          <w:szCs w:val="21"/>
        </w:rPr>
        <w:t>贡献过程可追溯；</w:t>
      </w:r>
    </w:p>
    <w:p w14:paraId="3595122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z w:val="21"/>
          <w:szCs w:val="21"/>
        </w:rPr>
        <w:t>提成比例符合公司规定；</w:t>
      </w:r>
    </w:p>
    <w:p w14:paraId="6A9C13AE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sz w:val="21"/>
          <w:szCs w:val="21"/>
        </w:rPr>
        <w:t>完成审批流程。</w:t>
      </w:r>
    </w:p>
    <w:p w14:paraId="7C82C0A3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MJ6销售激励包括：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（一）设备销售佣金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及提成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tbl>
      <w:tblPr>
        <w:tblStyle w:val="33"/>
        <w:tblW w:w="9223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461"/>
        <w:gridCol w:w="1961"/>
        <w:gridCol w:w="1460"/>
        <w:gridCol w:w="1985"/>
        <w:gridCol w:w="1500"/>
      </w:tblGrid>
      <w:tr w14:paraId="2E20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856" w:type="dxa"/>
            <w:shd w:val="clear" w:color="auto" w:fill="auto"/>
            <w:noWrap/>
            <w:vAlign w:val="center"/>
          </w:tcPr>
          <w:p w14:paraId="66AB7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起订量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5D832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主机售价/台</w:t>
            </w:r>
          </w:p>
        </w:tc>
        <w:tc>
          <w:tcPr>
            <w:tcW w:w="1961" w:type="dxa"/>
            <w:shd w:val="clear" w:color="auto" w:fill="auto"/>
            <w:noWrap/>
            <w:vAlign w:val="center"/>
          </w:tcPr>
          <w:p w14:paraId="7D5E2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外部合作佣金比例</w:t>
            </w:r>
          </w:p>
        </w:tc>
        <w:tc>
          <w:tcPr>
            <w:tcW w:w="1460" w:type="dxa"/>
            <w:shd w:val="clear" w:color="auto" w:fill="auto"/>
            <w:noWrap/>
            <w:vAlign w:val="center"/>
          </w:tcPr>
          <w:p w14:paraId="45869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佣金金额/台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21E01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内部销售提成比例</w:t>
            </w:r>
          </w:p>
        </w:tc>
        <w:tc>
          <w:tcPr>
            <w:tcW w:w="1500" w:type="dxa"/>
            <w:shd w:val="clear" w:color="auto" w:fill="auto"/>
            <w:noWrap/>
            <w:vAlign w:val="center"/>
          </w:tcPr>
          <w:p w14:paraId="65076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销售提成/台</w:t>
            </w:r>
          </w:p>
        </w:tc>
      </w:tr>
      <w:tr w14:paraId="3CC4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6" w:type="dxa"/>
            <w:shd w:val="clear" w:color="auto" w:fill="auto"/>
            <w:noWrap/>
            <w:vAlign w:val="center"/>
          </w:tcPr>
          <w:p w14:paraId="41DA0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6FA7E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¥168,000</w:t>
            </w:r>
          </w:p>
        </w:tc>
        <w:tc>
          <w:tcPr>
            <w:tcW w:w="1961" w:type="dxa"/>
            <w:shd w:val="clear" w:color="auto" w:fill="auto"/>
            <w:noWrap/>
            <w:vAlign w:val="center"/>
          </w:tcPr>
          <w:p w14:paraId="6A8E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20.00%</w:t>
            </w:r>
          </w:p>
        </w:tc>
        <w:tc>
          <w:tcPr>
            <w:tcW w:w="1460" w:type="dxa"/>
            <w:shd w:val="clear" w:color="auto" w:fill="auto"/>
            <w:noWrap/>
            <w:vAlign w:val="center"/>
          </w:tcPr>
          <w:p w14:paraId="38643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33,600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0189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5.00%</w:t>
            </w:r>
          </w:p>
        </w:tc>
        <w:tc>
          <w:tcPr>
            <w:tcW w:w="1500" w:type="dxa"/>
            <w:shd w:val="clear" w:color="auto" w:fill="auto"/>
            <w:noWrap/>
            <w:vAlign w:val="center"/>
          </w:tcPr>
          <w:p w14:paraId="4F455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8,400</w:t>
            </w:r>
          </w:p>
        </w:tc>
      </w:tr>
      <w:tr w14:paraId="3A2D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6" w:type="dxa"/>
            <w:shd w:val="clear" w:color="auto" w:fill="auto"/>
            <w:noWrap/>
            <w:vAlign w:val="center"/>
          </w:tcPr>
          <w:p w14:paraId="0203D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4A9C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¥138,000</w:t>
            </w:r>
          </w:p>
        </w:tc>
        <w:tc>
          <w:tcPr>
            <w:tcW w:w="1961" w:type="dxa"/>
            <w:shd w:val="clear" w:color="auto" w:fill="auto"/>
            <w:noWrap/>
            <w:vAlign w:val="center"/>
          </w:tcPr>
          <w:p w14:paraId="615A1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20.00%</w:t>
            </w:r>
          </w:p>
        </w:tc>
        <w:tc>
          <w:tcPr>
            <w:tcW w:w="1460" w:type="dxa"/>
            <w:shd w:val="clear" w:color="auto" w:fill="auto"/>
            <w:noWrap/>
            <w:vAlign w:val="center"/>
          </w:tcPr>
          <w:p w14:paraId="6F2F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27,600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33D4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5.00%</w:t>
            </w:r>
          </w:p>
        </w:tc>
        <w:tc>
          <w:tcPr>
            <w:tcW w:w="1500" w:type="dxa"/>
            <w:shd w:val="clear" w:color="auto" w:fill="auto"/>
            <w:noWrap/>
            <w:vAlign w:val="center"/>
          </w:tcPr>
          <w:p w14:paraId="5D573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6,900</w:t>
            </w:r>
          </w:p>
        </w:tc>
      </w:tr>
      <w:tr w14:paraId="1A26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6" w:type="dxa"/>
            <w:shd w:val="clear" w:color="auto" w:fill="auto"/>
            <w:noWrap/>
            <w:vAlign w:val="center"/>
          </w:tcPr>
          <w:p w14:paraId="74C33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606F8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¥118,000</w:t>
            </w:r>
          </w:p>
        </w:tc>
        <w:tc>
          <w:tcPr>
            <w:tcW w:w="1961" w:type="dxa"/>
            <w:shd w:val="clear" w:color="auto" w:fill="auto"/>
            <w:noWrap/>
            <w:vAlign w:val="center"/>
          </w:tcPr>
          <w:p w14:paraId="7F9BD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20.00%</w:t>
            </w:r>
          </w:p>
        </w:tc>
        <w:tc>
          <w:tcPr>
            <w:tcW w:w="1460" w:type="dxa"/>
            <w:shd w:val="clear" w:color="auto" w:fill="auto"/>
            <w:noWrap/>
            <w:vAlign w:val="center"/>
          </w:tcPr>
          <w:p w14:paraId="36AB3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23,600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44B4B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5.00%</w:t>
            </w:r>
          </w:p>
        </w:tc>
        <w:tc>
          <w:tcPr>
            <w:tcW w:w="1500" w:type="dxa"/>
            <w:shd w:val="clear" w:color="auto" w:fill="auto"/>
            <w:noWrap/>
            <w:vAlign w:val="center"/>
          </w:tcPr>
          <w:p w14:paraId="07CDB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5,900</w:t>
            </w:r>
          </w:p>
        </w:tc>
      </w:tr>
      <w:tr w14:paraId="1303D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6" w:type="dxa"/>
            <w:shd w:val="clear" w:color="auto" w:fill="auto"/>
            <w:noWrap/>
            <w:vAlign w:val="center"/>
          </w:tcPr>
          <w:p w14:paraId="49656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20207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¥98,000</w:t>
            </w:r>
          </w:p>
        </w:tc>
        <w:tc>
          <w:tcPr>
            <w:tcW w:w="1961" w:type="dxa"/>
            <w:shd w:val="clear" w:color="auto" w:fill="auto"/>
            <w:noWrap/>
            <w:vAlign w:val="center"/>
          </w:tcPr>
          <w:p w14:paraId="5608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15.00%</w:t>
            </w:r>
          </w:p>
        </w:tc>
        <w:tc>
          <w:tcPr>
            <w:tcW w:w="1460" w:type="dxa"/>
            <w:shd w:val="clear" w:color="auto" w:fill="auto"/>
            <w:noWrap/>
            <w:vAlign w:val="center"/>
          </w:tcPr>
          <w:p w14:paraId="13D76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14,700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EF0D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5.00%</w:t>
            </w:r>
          </w:p>
        </w:tc>
        <w:tc>
          <w:tcPr>
            <w:tcW w:w="1500" w:type="dxa"/>
            <w:shd w:val="clear" w:color="auto" w:fill="auto"/>
            <w:noWrap/>
            <w:vAlign w:val="center"/>
          </w:tcPr>
          <w:p w14:paraId="7B7DB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4,900</w:t>
            </w:r>
          </w:p>
        </w:tc>
      </w:tr>
      <w:tr w14:paraId="4E7B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6" w:type="dxa"/>
            <w:shd w:val="clear" w:color="auto" w:fill="auto"/>
            <w:noWrap/>
            <w:vAlign w:val="center"/>
          </w:tcPr>
          <w:p w14:paraId="66ECA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1461" w:type="dxa"/>
            <w:shd w:val="clear" w:color="auto" w:fill="auto"/>
            <w:noWrap/>
            <w:vAlign w:val="center"/>
          </w:tcPr>
          <w:p w14:paraId="05EC6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¥80,000</w:t>
            </w:r>
          </w:p>
        </w:tc>
        <w:tc>
          <w:tcPr>
            <w:tcW w:w="1961" w:type="dxa"/>
            <w:shd w:val="clear" w:color="auto" w:fill="auto"/>
            <w:noWrap/>
            <w:vAlign w:val="center"/>
          </w:tcPr>
          <w:p w14:paraId="68244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12.00%</w:t>
            </w:r>
          </w:p>
        </w:tc>
        <w:tc>
          <w:tcPr>
            <w:tcW w:w="1460" w:type="dxa"/>
            <w:shd w:val="clear" w:color="auto" w:fill="auto"/>
            <w:noWrap/>
            <w:vAlign w:val="center"/>
          </w:tcPr>
          <w:p w14:paraId="14679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9,600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F73E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5.00%</w:t>
            </w:r>
          </w:p>
        </w:tc>
        <w:tc>
          <w:tcPr>
            <w:tcW w:w="1500" w:type="dxa"/>
            <w:shd w:val="clear" w:color="auto" w:fill="auto"/>
            <w:noWrap/>
            <w:vAlign w:val="center"/>
          </w:tcPr>
          <w:p w14:paraId="41C6D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4,000</w:t>
            </w:r>
          </w:p>
        </w:tc>
      </w:tr>
    </w:tbl>
    <w:p w14:paraId="5D6C91E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*如内部员工未参与产品销售，仅负责配合公司股东、董事、监事等进行接待对接工作，则内部奖励提成统一为1%。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（二）耗材销售激励：</w:t>
      </w:r>
    </w:p>
    <w:p w14:paraId="18FD092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头端</w:t>
      </w:r>
      <w:r>
        <w:rPr>
          <w:rFonts w:hint="eastAsia" w:ascii="微软雅黑" w:hAnsi="微软雅黑" w:eastAsia="微软雅黑" w:cs="微软雅黑"/>
          <w:sz w:val="21"/>
          <w:szCs w:val="21"/>
        </w:rPr>
        <w:t>耗材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和耗材套装设有佣金及提成机制，耗材的</w:t>
      </w:r>
      <w:r>
        <w:rPr>
          <w:rFonts w:hint="eastAsia" w:ascii="微软雅黑" w:hAnsi="微软雅黑" w:eastAsia="微软雅黑" w:cs="微软雅黑"/>
          <w:sz w:val="21"/>
          <w:szCs w:val="21"/>
        </w:rPr>
        <w:t>佣金和提成作为设备销售后的激励，与设备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对应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如外部合作方A促成客户B购买了5台设备，则未来这5台设备所产生的头端耗材或者耗材套装的销售部分外部合作方A都可以享受佣金。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1200发、2000发耗材及头端产品，原则按照外部合作佣金10%、内部销售提成3%执行。</w:t>
      </w:r>
    </w:p>
    <w:tbl>
      <w:tblPr>
        <w:tblStyle w:val="33"/>
        <w:tblW w:w="831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096"/>
        <w:gridCol w:w="1260"/>
        <w:gridCol w:w="1302"/>
        <w:gridCol w:w="1238"/>
        <w:gridCol w:w="1117"/>
        <w:gridCol w:w="1238"/>
      </w:tblGrid>
      <w:tr w14:paraId="15682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34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D89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MJ6适配耗材（1200发头端/套装）</w:t>
            </w:r>
          </w:p>
        </w:tc>
        <w:tc>
          <w:tcPr>
            <w:tcW w:w="25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BA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外部合作方佣金</w:t>
            </w:r>
          </w:p>
        </w:tc>
        <w:tc>
          <w:tcPr>
            <w:tcW w:w="23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A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内部销售人员提成</w:t>
            </w:r>
          </w:p>
        </w:tc>
      </w:tr>
      <w:tr w14:paraId="520DD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106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B5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耗材订购量</w:t>
            </w:r>
          </w:p>
        </w:tc>
        <w:tc>
          <w:tcPr>
            <w:tcW w:w="109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06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赠送正装耗材</w:t>
            </w:r>
          </w:p>
        </w:tc>
        <w:tc>
          <w:tcPr>
            <w:tcW w:w="126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85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耗材单价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B3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外部佣金比例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F6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佣金金额/套</w:t>
            </w:r>
          </w:p>
        </w:tc>
        <w:tc>
          <w:tcPr>
            <w:tcW w:w="11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4D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提成比例</w:t>
            </w:r>
          </w:p>
        </w:tc>
        <w:tc>
          <w:tcPr>
            <w:tcW w:w="123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97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销售提成/套</w:t>
            </w:r>
          </w:p>
        </w:tc>
      </w:tr>
      <w:tr w14:paraId="70B2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E7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11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BE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¥1,380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21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7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138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27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3.00%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8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41.40</w:t>
            </w:r>
          </w:p>
        </w:tc>
      </w:tr>
      <w:tr w14:paraId="7BE4F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95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F9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61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¥1,380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17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34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138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F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3.00%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01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41.40</w:t>
            </w:r>
          </w:p>
        </w:tc>
      </w:tr>
      <w:tr w14:paraId="21E17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C5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18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5A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¥1,380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68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BA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138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8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3.00%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7B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41.40</w:t>
            </w:r>
          </w:p>
        </w:tc>
      </w:tr>
      <w:tr w14:paraId="35F1B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1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B4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VIP（特例）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49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¥300</w:t>
            </w:r>
          </w:p>
        </w:tc>
        <w:tc>
          <w:tcPr>
            <w:tcW w:w="48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79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无佣金或提成</w:t>
            </w:r>
          </w:p>
        </w:tc>
      </w:tr>
    </w:tbl>
    <w:p w14:paraId="15EBD72C">
      <w:pPr>
        <w:rPr>
          <w:rFonts w:hint="eastAsia" w:ascii="微软雅黑" w:hAnsi="微软雅黑" w:eastAsia="微软雅黑" w:cs="微软雅黑"/>
          <w:sz w:val="21"/>
          <w:szCs w:val="21"/>
        </w:rPr>
      </w:pPr>
    </w:p>
    <w:tbl>
      <w:tblPr>
        <w:tblStyle w:val="33"/>
        <w:tblW w:w="831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116"/>
        <w:gridCol w:w="1294"/>
        <w:gridCol w:w="1282"/>
        <w:gridCol w:w="1229"/>
        <w:gridCol w:w="1119"/>
        <w:gridCol w:w="1239"/>
      </w:tblGrid>
      <w:tr w14:paraId="6B639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4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8CB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MJ6适配耗材（2000发头端/套装）</w:t>
            </w:r>
          </w:p>
        </w:tc>
        <w:tc>
          <w:tcPr>
            <w:tcW w:w="25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AA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外部合作方佣金</w:t>
            </w:r>
          </w:p>
        </w:tc>
        <w:tc>
          <w:tcPr>
            <w:tcW w:w="23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D0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内部销售人员提成</w:t>
            </w:r>
          </w:p>
        </w:tc>
      </w:tr>
      <w:tr w14:paraId="10650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04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12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耗材订购量</w:t>
            </w:r>
          </w:p>
        </w:tc>
        <w:tc>
          <w:tcPr>
            <w:tcW w:w="111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C1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赠送正装耗材</w:t>
            </w:r>
          </w:p>
        </w:tc>
        <w:tc>
          <w:tcPr>
            <w:tcW w:w="129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A0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耗材单价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E7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外部佣金比例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98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佣金金额/个</w:t>
            </w:r>
          </w:p>
        </w:tc>
        <w:tc>
          <w:tcPr>
            <w:tcW w:w="111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D9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提成比例</w:t>
            </w:r>
          </w:p>
        </w:tc>
        <w:tc>
          <w:tcPr>
            <w:tcW w:w="123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67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销售提成/个</w:t>
            </w:r>
          </w:p>
        </w:tc>
      </w:tr>
      <w:tr w14:paraId="7906B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A6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D8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35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¥1,580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EF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74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28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3.00%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EB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47.40</w:t>
            </w:r>
          </w:p>
        </w:tc>
      </w:tr>
      <w:tr w14:paraId="250FC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6C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8D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0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¥1,580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5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A3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4B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3.00%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43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47.40</w:t>
            </w:r>
          </w:p>
        </w:tc>
      </w:tr>
      <w:tr w14:paraId="0A4FF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26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3E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1000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37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¥1,580</w:t>
            </w:r>
          </w:p>
        </w:tc>
        <w:tc>
          <w:tcPr>
            <w:tcW w:w="1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53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9F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70C0"/>
                <w:kern w:val="0"/>
                <w:sz w:val="21"/>
                <w:szCs w:val="21"/>
                <w:u w:val="none"/>
                <w:lang w:val="en-US" w:eastAsia="zh-CN" w:bidi="ar"/>
              </w:rPr>
              <w:t>3.00%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34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¥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47.40</w:t>
            </w:r>
          </w:p>
        </w:tc>
      </w:tr>
      <w:tr w14:paraId="2BF08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1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9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VIP（特例）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1A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¥300</w:t>
            </w:r>
          </w:p>
        </w:tc>
        <w:tc>
          <w:tcPr>
            <w:tcW w:w="48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5F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无佣金或提成</w:t>
            </w:r>
          </w:p>
        </w:tc>
      </w:tr>
    </w:tbl>
    <w:p w14:paraId="36B5CDA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所有佣金和提成必须建立在真实客户、真实订单、真实服务基础上。</w:t>
      </w:r>
    </w:p>
    <w:p w14:paraId="37FDB705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第四章 外部合作佣金反商业贿赂管理</w:t>
      </w:r>
    </w:p>
    <w:p w14:paraId="4497C6E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外部合作方获取佣金必须满足：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1. 完成合作备案；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与公司签署《代理服务合同》或相关业务合作协议，明确双方合作内容、服务范围、佣金标准、结算方式及双方权利义务；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按照国家相关法律法规及公司财务管理要求，向公司提供合法有效的发票或符合财务入账要求的凭证。未提供合法票据的，公司有权暂缓支付相关佣金；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4. 完成客户报备；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5. 提供真实客户来源证明；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6. 参与实际商务推进；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7. 经销售负责人、财务及管理层审核。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佣金支付原则：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1. 公司仅向完成合同签署、备案审批及实际业务贡献确认的合作方支付佣金；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佣金支付对象原则上应与代理服务合同签署主体、发票开具主体保持一致；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禁止通过个人代收、第三方代收、虚假服务费等方式进行佣金支付；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4. 禁止将佣金支付给与业务无关的个人或组织。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禁止：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1. 虚构中间人领取佣金；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员工指定亲属或关联人员套取佣金；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外部人员无实际贡献获取佣金；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4. 通过佣金形式向客户返利或输送利益。</w:t>
      </w:r>
    </w:p>
    <w:p w14:paraId="686B8F18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第五章 内部销售提成管理</w:t>
      </w:r>
    </w:p>
    <w:p w14:paraId="2FCC2F2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内部销售提成按照“谁开发、谁维护、谁贡献、谁受益”原则执行。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禁止员工：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1. 冒领他人业绩；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虚构客户开发过程；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与外部人员串通分配提成；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4. 将个人利益与渠道佣金绑定；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5. 私自向客户承诺返点、回扣或利益。</w:t>
      </w:r>
    </w:p>
    <w:p w14:paraId="37C3E038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第六章 客户归属及佣金分配管理</w:t>
      </w:r>
    </w:p>
    <w:p w14:paraId="40B64BE5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客户必须进行报备登记。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认定原则：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1. 外部合作方首次提供有效客户，并持续推动成交，可享受对应佣金；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内部销售独立开发客户，享受内部销售提成；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内外共同开发客户，应提前确认贡献比例；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4. 未备案客户发生争议时，公司根据客户接触记录、商务过程及实际贡献判定。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禁止重复申报、抢单及虚假认领。</w:t>
      </w:r>
    </w:p>
    <w:p w14:paraId="0CC999BB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第七章 佣金及提成审批流程</w:t>
      </w:r>
    </w:p>
    <w:p w14:paraId="7657ADA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所有佣金及提成必须执行：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业务申请 → 销售负责人审核 → 商务核验 → 财务审核 → 总经理审批 → 发放。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禁止：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1. 私下现金支付；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支付至非合同约定账户；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无合同、无订单、无服务依据支付；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4. 员工代收外部佣金。</w:t>
      </w:r>
    </w:p>
    <w:p w14:paraId="600881C2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第八章 特殊利益冲突管理</w:t>
      </w:r>
    </w:p>
    <w:p w14:paraId="6427781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为防止内部员工与外部合作方形成利益输送，公司规定：</w:t>
      </w:r>
    </w:p>
    <w:p w14:paraId="4E8C87C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第一条 禁止员工行为</w:t>
      </w:r>
    </w:p>
    <w:p w14:paraId="53EE25B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员工不得：</w:t>
      </w:r>
    </w:p>
    <w:p w14:paraId="1DB578A8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注册或控制外部合作主体获取高比例佣金；</w:t>
      </w:r>
    </w:p>
    <w:p w14:paraId="534B2E93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指定关联人员作为外部佣金领取主体；</w:t>
      </w:r>
    </w:p>
    <w:p w14:paraId="619E50C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将自身应得销售提成转移至外部合作方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或其他内部员工</w:t>
      </w:r>
      <w:r>
        <w:rPr>
          <w:rFonts w:hint="eastAsia" w:ascii="微软雅黑" w:hAnsi="微软雅黑" w:eastAsia="微软雅黑" w:cs="微软雅黑"/>
          <w:sz w:val="21"/>
          <w:szCs w:val="21"/>
        </w:rPr>
        <w:t>；</w:t>
      </w:r>
    </w:p>
    <w:p w14:paraId="637E8E4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与外部合作方约定私下返还、分佣。</w:t>
      </w:r>
    </w:p>
    <w:p w14:paraId="3FC4610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第二条 关联关系申报</w:t>
      </w:r>
    </w:p>
    <w:p w14:paraId="67C05F2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外部合作方如与公司员工存在：</w:t>
      </w:r>
    </w:p>
    <w:p w14:paraId="08015A2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亲属关系；</w:t>
      </w:r>
    </w:p>
    <w:p w14:paraId="6845FDE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投资关系；</w:t>
      </w:r>
    </w:p>
    <w:p w14:paraId="05CE3C3F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经济利益关系；</w:t>
      </w:r>
    </w:p>
    <w:p w14:paraId="71DA9A4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必须提前向公司申报。</w:t>
      </w:r>
    </w:p>
    <w:p w14:paraId="2045B378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423C2A6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未申报造成损失，公司有权取消佣金、追回收益并追究责任。</w:t>
      </w:r>
    </w:p>
    <w:p w14:paraId="22C07A82">
      <w:pPr>
        <w:rPr>
          <w:rFonts w:hint="eastAsia" w:ascii="微软雅黑" w:hAnsi="微软雅黑" w:eastAsia="微软雅黑" w:cs="微软雅黑"/>
          <w:sz w:val="21"/>
          <w:szCs w:val="21"/>
        </w:rPr>
      </w:pPr>
      <w:bookmarkStart w:id="0" w:name="_GoBack"/>
      <w:bookmarkEnd w:id="0"/>
    </w:p>
    <w:p w14:paraId="6161332B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第九章 违规处罚</w:t>
      </w:r>
    </w:p>
    <w:p w14:paraId="64D9337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一般违规：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取消相关佣金及提成，追回违规所得。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严重违规：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包括虚假订单、虚构客户、串通套取佣金，公司可解除劳动关系或合作关系。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商业贿赂行为：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包括收受回扣、向客户输送利益、利用销售费用进行利益交换，公司将依法追究责任。</w:t>
      </w:r>
    </w:p>
    <w:p w14:paraId="27F0179A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第十章 渠道合作伙伴承诺</w:t>
      </w:r>
    </w:p>
    <w:p w14:paraId="73A1846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所有外部合作方须签署《反商业贿赂承诺书》。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合作方不得：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1. 向客户提供非法利益；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2. 要求公司员工违规操作；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3. 通过虚假服务获取佣金。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违反规定，公司有权终止合作并追回损失。</w:t>
      </w:r>
    </w:p>
    <w:p w14:paraId="2E74CAA9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第十一章 附则</w:t>
      </w:r>
    </w:p>
    <w:p w14:paraId="496B332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本制度由销售部、财务部、人力行政部共同监督执行。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本制度自发布之日起实施。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8A1690EB-09B7-4BFD-8819-492C82131BDE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B87E8"/>
    <w:multiLevelType w:val="singleLevel"/>
    <w:tmpl w:val="926B87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E31D351"/>
    <w:multiLevelType w:val="singleLevel"/>
    <w:tmpl w:val="CE31D351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D0D44316"/>
    <w:multiLevelType w:val="singleLevel"/>
    <w:tmpl w:val="D0D443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57E58443"/>
    <w:multiLevelType w:val="singleLevel"/>
    <w:tmpl w:val="57E584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B75843"/>
    <w:rsid w:val="3F14153C"/>
    <w:rsid w:val="45EB1E5F"/>
    <w:rsid w:val="5D80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454</Words>
  <Characters>458</Characters>
  <Lines>0</Lines>
  <Paragraphs>0</Paragraphs>
  <TotalTime>178</TotalTime>
  <ScaleCrop>false</ScaleCrop>
  <LinksUpToDate>false</LinksUpToDate>
  <CharactersWithSpaces>460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小xw</cp:lastModifiedBy>
  <dcterms:modified xsi:type="dcterms:W3CDTF">2026-08-12T05:57:00Z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eyJoZGlkIjoiYmRiOWJjMzRlMDg2Mzk0NGMyYTIyZTVmZTZmNjZiNTAiLCJ1c2VySWQiOiI1MzMwMjM5ODUifQ==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05642386214E4A11ACE7C55FCE0DAC18_13</vt:lpwstr>
  </property>
</Properties>
</file>